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81A49">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ascii="方正小标宋简体" w:eastAsia="方正小标宋简体"/>
          <w:sz w:val="32"/>
          <w:szCs w:val="32"/>
        </w:rPr>
      </w:pPr>
    </w:p>
    <w:p w14:paraId="743A242B">
      <w:pPr>
        <w:pStyle w:val="8"/>
        <w:keepNext w:val="0"/>
        <w:keepLines w:val="0"/>
        <w:pageBreakBefore w:val="0"/>
        <w:kinsoku/>
        <w:wordWrap/>
        <w:overflowPunct/>
        <w:topLinePunct w:val="0"/>
        <w:bidi w:val="0"/>
        <w:spacing w:line="588" w:lineRule="exact"/>
        <w:jc w:val="center"/>
      </w:pPr>
      <w:r>
        <w:rPr>
          <w:rFonts w:hint="eastAsia" w:ascii="方正小标宋简体" w:eastAsia="方正小标宋简体"/>
          <w:color w:val="000000"/>
          <w:sz w:val="44"/>
          <w:szCs w:val="44"/>
        </w:rPr>
        <w:t>中共天津经济技术开发区委员会全面依法治区委员会办公室关于印发《天津经济技术开发区柔性执法“三张清单”</w:t>
      </w:r>
      <w:r>
        <w:rPr>
          <w:rFonts w:hint="eastAsia" w:ascii="方正小标宋简体" w:eastAsia="方正小标宋简体"/>
          <w:sz w:val="44"/>
          <w:szCs w:val="44"/>
        </w:rPr>
        <w:t>（</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.0版）》</w:t>
      </w:r>
      <w:r>
        <w:rPr>
          <w:rFonts w:hint="eastAsia" w:ascii="方正小标宋简体" w:eastAsia="方正小标宋简体"/>
          <w:color w:val="000000"/>
          <w:sz w:val="44"/>
          <w:szCs w:val="44"/>
        </w:rPr>
        <w:t>的通知</w:t>
      </w:r>
    </w:p>
    <w:p w14:paraId="3163509E">
      <w:pPr>
        <w:pStyle w:val="8"/>
        <w:keepNext w:val="0"/>
        <w:keepLines w:val="0"/>
        <w:pageBreakBefore w:val="0"/>
        <w:kinsoku/>
        <w:wordWrap/>
        <w:overflowPunct/>
        <w:topLinePunct w:val="0"/>
        <w:bidi w:val="0"/>
        <w:spacing w:line="588" w:lineRule="exact"/>
        <w:rPr>
          <w:rFonts w:hint="eastAsia" w:ascii="仿宋_GB2312" w:eastAsia="仿宋_GB2312"/>
          <w:color w:val="000000"/>
          <w:sz w:val="32"/>
          <w:szCs w:val="32"/>
        </w:rPr>
      </w:pPr>
    </w:p>
    <w:p w14:paraId="33A8F5BB">
      <w:pPr>
        <w:pStyle w:val="8"/>
        <w:keepNext w:val="0"/>
        <w:keepLines w:val="0"/>
        <w:pageBreakBefore w:val="0"/>
        <w:kinsoku/>
        <w:wordWrap/>
        <w:overflowPunct/>
        <w:topLinePunct w:val="0"/>
        <w:bidi w:val="0"/>
        <w:spacing w:line="588" w:lineRule="exact"/>
      </w:pPr>
      <w:r>
        <w:rPr>
          <w:rFonts w:hint="eastAsia" w:ascii="仿宋_GB2312" w:eastAsia="仿宋_GB2312"/>
          <w:color w:val="000000"/>
          <w:spacing w:val="-20"/>
          <w:sz w:val="32"/>
          <w:szCs w:val="32"/>
        </w:rPr>
        <w:t>中共天津经济技术开发区委员会全面依法治区委员会各成员单位：</w:t>
      </w:r>
    </w:p>
    <w:p w14:paraId="4B9D6CB7">
      <w:pPr>
        <w:pStyle w:val="8"/>
        <w:keepNext w:val="0"/>
        <w:keepLines w:val="0"/>
        <w:pageBreakBefore w:val="0"/>
        <w:kinsoku/>
        <w:wordWrap/>
        <w:overflowPunct/>
        <w:topLinePunct w:val="0"/>
        <w:bidi w:val="0"/>
        <w:spacing w:line="588"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rPr>
        <w:t>《天津经济技术开发区柔性执法“三张清单”（</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.0版）》业经经开区党委</w:t>
      </w:r>
      <w:r>
        <w:rPr>
          <w:rFonts w:hint="eastAsia" w:ascii="仿宋_GB2312" w:eastAsia="仿宋_GB2312"/>
          <w:color w:val="000000"/>
          <w:sz w:val="32"/>
          <w:szCs w:val="32"/>
          <w:lang w:eastAsia="zh-CN"/>
        </w:rPr>
        <w:t>管委会批准</w:t>
      </w:r>
      <w:r>
        <w:rPr>
          <w:rFonts w:hint="eastAsia" w:ascii="仿宋_GB2312" w:eastAsia="仿宋_GB2312"/>
          <w:color w:val="000000"/>
          <w:sz w:val="32"/>
          <w:szCs w:val="32"/>
        </w:rPr>
        <w:t>，现予印发。请遵照执行。</w:t>
      </w:r>
      <w:r>
        <w:rPr>
          <w:rFonts w:hint="eastAsia" w:ascii="仿宋_GB2312" w:eastAsia="仿宋_GB2312"/>
          <w:color w:val="000000"/>
          <w:sz w:val="32"/>
          <w:szCs w:val="32"/>
          <w:lang w:val="en-US" w:eastAsia="zh-CN"/>
        </w:rPr>
        <w:t xml:space="preserve">   </w:t>
      </w:r>
    </w:p>
    <w:p w14:paraId="6C8FCC09">
      <w:pPr>
        <w:pStyle w:val="8"/>
        <w:keepNext w:val="0"/>
        <w:keepLines w:val="0"/>
        <w:pageBreakBefore w:val="0"/>
        <w:kinsoku/>
        <w:wordWrap/>
        <w:overflowPunct/>
        <w:topLinePunct w:val="0"/>
        <w:bidi w:val="0"/>
        <w:spacing w:line="588" w:lineRule="exact"/>
        <w:ind w:firstLine="640"/>
        <w:rPr>
          <w:rFonts w:hint="eastAsia" w:ascii="仿宋_GB2312" w:eastAsia="仿宋_GB2312"/>
          <w:color w:val="000000"/>
          <w:sz w:val="32"/>
          <w:szCs w:val="32"/>
        </w:rPr>
      </w:pPr>
      <w:r>
        <w:rPr>
          <w:rFonts w:hint="eastAsia" w:ascii="仿宋_GB2312" w:eastAsia="仿宋_GB2312"/>
          <w:color w:val="000000"/>
          <w:sz w:val="32"/>
          <w:szCs w:val="32"/>
        </w:rPr>
        <w:t>特此通知。</w:t>
      </w:r>
    </w:p>
    <w:p w14:paraId="4289D4E6">
      <w:pPr>
        <w:pStyle w:val="8"/>
        <w:keepNext w:val="0"/>
        <w:keepLines w:val="0"/>
        <w:pageBreakBefore w:val="0"/>
        <w:kinsoku/>
        <w:wordWrap/>
        <w:overflowPunct/>
        <w:topLinePunct w:val="0"/>
        <w:bidi w:val="0"/>
        <w:spacing w:line="588" w:lineRule="exact"/>
        <w:ind w:firstLine="640"/>
        <w:rPr>
          <w:rFonts w:hint="eastAsia" w:ascii="仿宋_GB2312" w:eastAsia="仿宋_GB2312"/>
          <w:color w:val="000000"/>
          <w:sz w:val="32"/>
          <w:szCs w:val="32"/>
        </w:rPr>
      </w:pPr>
    </w:p>
    <w:p w14:paraId="76A64D59">
      <w:pPr>
        <w:pStyle w:val="8"/>
        <w:keepNext w:val="0"/>
        <w:keepLines w:val="0"/>
        <w:pageBreakBefore w:val="0"/>
        <w:kinsoku/>
        <w:wordWrap/>
        <w:overflowPunct/>
        <w:topLinePunct w:val="0"/>
        <w:bidi w:val="0"/>
        <w:spacing w:line="588" w:lineRule="exact"/>
        <w:ind w:firstLine="640"/>
        <w:rPr>
          <w:rFonts w:hint="eastAsia" w:ascii="仿宋_GB2312" w:eastAsia="仿宋_GB2312" w:cs="仿宋_GB2312"/>
          <w:spacing w:val="0"/>
          <w:sz w:val="32"/>
          <w:szCs w:val="32"/>
          <w:lang w:eastAsia="zh-CN"/>
        </w:rPr>
      </w:pPr>
      <w:r>
        <w:rPr>
          <w:rFonts w:hint="eastAsia" w:ascii="仿宋_GB2312" w:eastAsia="仿宋_GB2312" w:cs="仿宋_GB2312"/>
          <w:spacing w:val="0"/>
          <w:sz w:val="32"/>
          <w:szCs w:val="32"/>
          <w:lang w:eastAsia="zh-CN"/>
        </w:rPr>
        <w:t>附件：天津经济技术开发区柔性执法“三张清单”（3.0版）</w:t>
      </w:r>
    </w:p>
    <w:p w14:paraId="05322FC3">
      <w:pPr>
        <w:pStyle w:val="8"/>
        <w:keepNext w:val="0"/>
        <w:keepLines w:val="0"/>
        <w:pageBreakBefore w:val="0"/>
        <w:kinsoku/>
        <w:wordWrap/>
        <w:overflowPunct/>
        <w:topLinePunct w:val="0"/>
        <w:bidi w:val="0"/>
        <w:spacing w:line="588" w:lineRule="exact"/>
        <w:ind w:firstLine="640"/>
        <w:rPr>
          <w:rFonts w:hint="eastAsia" w:ascii="仿宋_GB2312" w:eastAsia="仿宋_GB2312" w:cs="仿宋_GB2312"/>
          <w:spacing w:val="0"/>
          <w:sz w:val="32"/>
          <w:szCs w:val="32"/>
          <w:lang w:eastAsia="zh-CN"/>
        </w:rPr>
      </w:pPr>
    </w:p>
    <w:p w14:paraId="13EFDD4C">
      <w:pPr>
        <w:pStyle w:val="8"/>
        <w:keepNext w:val="0"/>
        <w:keepLines w:val="0"/>
        <w:pageBreakBefore w:val="0"/>
        <w:kinsoku/>
        <w:wordWrap/>
        <w:overflowPunct/>
        <w:topLinePunct w:val="0"/>
        <w:bidi w:val="0"/>
        <w:spacing w:line="588" w:lineRule="exact"/>
        <w:ind w:firstLine="640"/>
        <w:rPr>
          <w:rFonts w:hint="eastAsia" w:ascii="仿宋_GB2312" w:eastAsia="仿宋_GB2312" w:cs="仿宋_GB2312"/>
          <w:spacing w:val="0"/>
          <w:sz w:val="32"/>
          <w:szCs w:val="32"/>
          <w:lang w:eastAsia="zh-CN"/>
        </w:rPr>
      </w:pPr>
    </w:p>
    <w:p w14:paraId="73934C29">
      <w:pPr>
        <w:pStyle w:val="8"/>
        <w:keepNext w:val="0"/>
        <w:keepLines w:val="0"/>
        <w:pageBreakBefore w:val="0"/>
        <w:kinsoku/>
        <w:wordWrap/>
        <w:overflowPunct/>
        <w:topLinePunct w:val="0"/>
        <w:bidi w:val="0"/>
        <w:spacing w:line="588" w:lineRule="exact"/>
        <w:ind w:firstLine="640"/>
        <w:rPr>
          <w:rFonts w:hint="eastAsia" w:ascii="仿宋_GB2312" w:eastAsia="仿宋_GB2312" w:cs="仿宋_GB2312"/>
          <w:spacing w:val="0"/>
          <w:sz w:val="32"/>
          <w:szCs w:val="32"/>
          <w:lang w:eastAsia="zh-CN"/>
        </w:rPr>
      </w:pPr>
    </w:p>
    <w:p w14:paraId="5AB5DA69">
      <w:pPr>
        <w:pStyle w:val="8"/>
        <w:keepNext w:val="0"/>
        <w:keepLines w:val="0"/>
        <w:pageBreakBefore w:val="0"/>
        <w:kinsoku/>
        <w:wordWrap/>
        <w:overflowPunct/>
        <w:topLinePunct w:val="0"/>
        <w:bidi w:val="0"/>
        <w:spacing w:line="588" w:lineRule="exact"/>
        <w:ind w:firstLine="640"/>
        <w:rPr>
          <w:rFonts w:hint="eastAsia" w:ascii="仿宋_GB2312" w:eastAsia="仿宋_GB2312" w:cs="仿宋_GB2312"/>
          <w:spacing w:val="0"/>
          <w:sz w:val="32"/>
          <w:szCs w:val="32"/>
          <w:lang w:eastAsia="zh-CN"/>
        </w:rPr>
      </w:pPr>
    </w:p>
    <w:p w14:paraId="013097A2">
      <w:pPr>
        <w:keepNext w:val="0"/>
        <w:keepLines w:val="0"/>
        <w:pageBreakBefore w:val="0"/>
        <w:widowControl w:val="0"/>
        <w:suppressLineNumbers w:val="0"/>
        <w:kinsoku/>
        <w:wordWrap w:val="0"/>
        <w:overflowPunct/>
        <w:topLinePunct w:val="0"/>
        <w:autoSpaceDE/>
        <w:autoSpaceDN/>
        <w:bidi w:val="0"/>
        <w:adjustRightInd/>
        <w:snapToGrid/>
        <w:spacing w:line="588" w:lineRule="exact"/>
        <w:ind w:firstLine="5120" w:firstLineChars="1600"/>
        <w:jc w:val="both"/>
        <w:textAlignment w:val="auto"/>
        <w:rPr>
          <w:rFonts w:hint="eastAsia" w:ascii="仿宋_GB2312" w:hAnsi="宋体" w:eastAsia="仿宋_GB2312" w:cs="仿宋_GB2312"/>
          <w:color w:val="000000"/>
          <w:spacing w:val="0"/>
          <w:kern w:val="0"/>
          <w:sz w:val="32"/>
          <w:szCs w:val="32"/>
          <w:lang w:val="en-US" w:eastAsia="zh-CN" w:bidi="ar"/>
        </w:rPr>
      </w:pPr>
      <w:r>
        <w:rPr>
          <w:rFonts w:hint="eastAsia" w:ascii="仿宋_GB2312" w:hAnsi="宋体" w:eastAsia="仿宋_GB2312" w:cs="仿宋_GB2312"/>
          <w:color w:val="000000"/>
          <w:spacing w:val="0"/>
          <w:kern w:val="0"/>
          <w:sz w:val="32"/>
          <w:szCs w:val="32"/>
          <w:lang w:val="en-US" w:eastAsia="zh-CN" w:bidi="ar"/>
        </w:rPr>
        <w:t>经开区党委依法治区办</w:t>
      </w:r>
    </w:p>
    <w:p w14:paraId="66CA64AD">
      <w:pPr>
        <w:keepNext w:val="0"/>
        <w:keepLines w:val="0"/>
        <w:pageBreakBefore w:val="0"/>
        <w:widowControl w:val="0"/>
        <w:suppressLineNumbers w:val="0"/>
        <w:kinsoku/>
        <w:wordWrap w:val="0"/>
        <w:overflowPunct/>
        <w:topLinePunct w:val="0"/>
        <w:autoSpaceDE/>
        <w:autoSpaceDN/>
        <w:bidi w:val="0"/>
        <w:adjustRightInd/>
        <w:snapToGrid/>
        <w:spacing w:line="588" w:lineRule="exact"/>
        <w:jc w:val="both"/>
        <w:textAlignment w:val="auto"/>
        <w:rPr>
          <w:rFonts w:hint="eastAsia" w:ascii="仿宋_GB2312" w:hAnsi="宋体" w:eastAsia="仿宋_GB2312" w:cs="仿宋_GB2312"/>
          <w:color w:val="000000"/>
          <w:spacing w:val="0"/>
          <w:kern w:val="0"/>
          <w:sz w:val="32"/>
          <w:szCs w:val="32"/>
          <w:lang w:val="en-US" w:eastAsia="zh-CN" w:bidi="ar"/>
        </w:rPr>
      </w:pPr>
      <w:r>
        <w:rPr>
          <w:rFonts w:hint="eastAsia" w:ascii="仿宋_GB2312" w:hAnsi="宋体" w:eastAsia="仿宋_GB2312" w:cs="仿宋_GB2312"/>
          <w:color w:val="000000"/>
          <w:spacing w:val="0"/>
          <w:kern w:val="0"/>
          <w:sz w:val="32"/>
          <w:szCs w:val="32"/>
          <w:lang w:val="en-US" w:eastAsia="zh-CN" w:bidi="ar"/>
        </w:rPr>
        <w:t xml:space="preserve">                                （经开区党委办代章）</w:t>
      </w:r>
    </w:p>
    <w:p w14:paraId="681AA107">
      <w:pPr>
        <w:keepNext w:val="0"/>
        <w:keepLines w:val="0"/>
        <w:pageBreakBefore w:val="0"/>
        <w:widowControl w:val="0"/>
        <w:suppressLineNumbers w:val="0"/>
        <w:kinsoku/>
        <w:wordWrap w:val="0"/>
        <w:overflowPunct/>
        <w:topLinePunct w:val="0"/>
        <w:autoSpaceDE/>
        <w:autoSpaceDN/>
        <w:bidi w:val="0"/>
        <w:adjustRightInd/>
        <w:snapToGrid/>
        <w:spacing w:line="588" w:lineRule="exact"/>
        <w:ind w:right="840" w:rightChars="400"/>
        <w:jc w:val="right"/>
        <w:textAlignment w:val="auto"/>
        <w:rPr>
          <w:rFonts w:hint="eastAsia" w:ascii="仿宋_GB2312" w:hAnsi="宋体" w:eastAsia="仿宋_GB2312" w:cs="仿宋_GB2312"/>
          <w:color w:val="000000"/>
          <w:spacing w:val="0"/>
          <w:kern w:val="0"/>
          <w:sz w:val="32"/>
          <w:szCs w:val="32"/>
          <w:lang w:val="en-US" w:eastAsia="zh-CN" w:bidi="ar"/>
        </w:rPr>
      </w:pPr>
      <w:r>
        <w:rPr>
          <w:rFonts w:hint="eastAsia" w:ascii="仿宋_GB2312" w:hAnsi="宋体" w:eastAsia="仿宋_GB2312" w:cs="仿宋_GB2312"/>
          <w:color w:val="000000"/>
          <w:spacing w:val="0"/>
          <w:kern w:val="0"/>
          <w:sz w:val="32"/>
          <w:szCs w:val="32"/>
          <w:lang w:val="en-US" w:eastAsia="zh-CN" w:bidi="ar"/>
        </w:rPr>
        <w:t xml:space="preserve">                           2025年7月1日</w:t>
      </w:r>
    </w:p>
    <w:p w14:paraId="568C109F">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eastAsia="仿宋_GB2312"/>
          <w:spacing w:val="0"/>
          <w:sz w:val="32"/>
          <w:szCs w:val="32"/>
        </w:rPr>
        <w:sectPr>
          <w:footerReference r:id="rId3" w:type="default"/>
          <w:pgSz w:w="11906" w:h="16838"/>
          <w:pgMar w:top="1984" w:right="1474" w:bottom="1984" w:left="1587" w:header="851" w:footer="992" w:gutter="0"/>
          <w:pgNumType w:fmt="numberInDash"/>
          <w:cols w:space="0" w:num="1"/>
          <w:rtlGutter w:val="0"/>
          <w:docGrid w:type="lines" w:linePitch="312" w:charSpace="0"/>
        </w:sectPr>
      </w:pPr>
      <w:r>
        <w:rPr>
          <w:rFonts w:hint="eastAsia" w:ascii="仿宋_GB2312" w:eastAsia="仿宋_GB2312"/>
          <w:spacing w:val="0"/>
          <w:sz w:val="32"/>
          <w:szCs w:val="32"/>
          <w:lang w:val="en-US" w:eastAsia="zh-CN"/>
        </w:rPr>
        <w:t>（此件主动公开）</w:t>
      </w:r>
    </w:p>
    <w:p w14:paraId="56D1BC3D">
      <w:pPr>
        <w:pStyle w:val="8"/>
        <w:keepNext w:val="0"/>
        <w:keepLines w:val="0"/>
        <w:pageBreakBefore w:val="0"/>
        <w:kinsoku/>
        <w:wordWrap/>
        <w:overflowPunct/>
        <w:topLinePunct w:val="0"/>
        <w:bidi w:val="0"/>
        <w:spacing w:line="588" w:lineRule="exact"/>
        <w:ind w:firstLine="640"/>
        <w:rPr>
          <w:rFonts w:hint="eastAsia" w:ascii="仿宋_GB2312" w:eastAsia="仿宋_GB2312" w:cs="仿宋_GB2312"/>
          <w:spacing w:val="0"/>
          <w:sz w:val="32"/>
          <w:szCs w:val="32"/>
          <w:lang w:eastAsia="zh-CN"/>
        </w:rPr>
      </w:pPr>
    </w:p>
    <w:p w14:paraId="1118CB78">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33253CFD">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天津经济技术开发区柔性执法“三张清单”（3.0版）</w:t>
      </w:r>
    </w:p>
    <w:tbl>
      <w:tblPr>
        <w:tblStyle w:val="11"/>
        <w:tblW w:w="1434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0"/>
        <w:gridCol w:w="4249"/>
        <w:gridCol w:w="5194"/>
        <w:gridCol w:w="3987"/>
      </w:tblGrid>
      <w:tr w14:paraId="6A0D01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340" w:type="dxa"/>
            <w:gridSpan w:val="4"/>
          </w:tcPr>
          <w:p w14:paraId="64A8F9B7">
            <w:pPr>
              <w:keepNext w:val="0"/>
              <w:keepLines w:val="0"/>
              <w:pageBreakBefore w:val="0"/>
              <w:kinsoku/>
              <w:wordWrap/>
              <w:overflowPunct/>
              <w:topLinePunct w:val="0"/>
              <w:bidi w:val="0"/>
              <w:spacing w:line="588"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市场监管执法领域</w:t>
            </w:r>
          </w:p>
        </w:tc>
      </w:tr>
      <w:tr w14:paraId="67C4A0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340" w:type="dxa"/>
            <w:gridSpan w:val="4"/>
          </w:tcPr>
          <w:p w14:paraId="37651241">
            <w:pPr>
              <w:keepNext w:val="0"/>
              <w:keepLines w:val="0"/>
              <w:pageBreakBefore w:val="0"/>
              <w:kinsoku/>
              <w:wordWrap/>
              <w:overflowPunct/>
              <w:topLinePunct w:val="0"/>
              <w:bidi w:val="0"/>
              <w:spacing w:line="588" w:lineRule="exact"/>
              <w:jc w:val="center"/>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不予处罚清单</w:t>
            </w:r>
          </w:p>
        </w:tc>
      </w:tr>
      <w:tr w14:paraId="316A36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AD2D897">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序号</w:t>
            </w:r>
          </w:p>
        </w:tc>
        <w:tc>
          <w:tcPr>
            <w:tcW w:w="4249" w:type="dxa"/>
            <w:vAlign w:val="center"/>
          </w:tcPr>
          <w:p w14:paraId="3E4807D5">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处罚事项</w:t>
            </w:r>
          </w:p>
        </w:tc>
        <w:tc>
          <w:tcPr>
            <w:tcW w:w="5194" w:type="dxa"/>
            <w:vAlign w:val="center"/>
          </w:tcPr>
          <w:p w14:paraId="26554C64">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b/>
                <w:sz w:val="28"/>
                <w:szCs w:val="28"/>
              </w:rPr>
            </w:pPr>
            <w:r>
              <w:rPr>
                <w:rFonts w:ascii="黑体" w:hAnsi="黑体" w:eastAsia="黑体"/>
                <w:color w:val="000000"/>
                <w:sz w:val="28"/>
                <w:szCs w:val="28"/>
              </w:rPr>
              <w:t>不予处罚的情形</w:t>
            </w:r>
          </w:p>
        </w:tc>
        <w:tc>
          <w:tcPr>
            <w:tcW w:w="3987" w:type="dxa"/>
            <w:vAlign w:val="center"/>
          </w:tcPr>
          <w:p w14:paraId="63425127">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ascii="黑体" w:hAnsi="黑体" w:eastAsia="黑体"/>
                <w:color w:val="000000"/>
                <w:sz w:val="28"/>
                <w:szCs w:val="28"/>
              </w:rPr>
              <w:t>不予处罚的依据</w:t>
            </w:r>
          </w:p>
        </w:tc>
      </w:tr>
      <w:tr w14:paraId="23C599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78DB08E0">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249" w:type="dxa"/>
            <w:vAlign w:val="center"/>
          </w:tcPr>
          <w:p w14:paraId="6D5352BE">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通过大众传播媒介发布广告，或者通过知识介绍、体验分享、消费测评等形式推销商品或者服务，并附加购物链接等购买方式的，未显著标明“广告”</w:t>
            </w:r>
          </w:p>
        </w:tc>
        <w:tc>
          <w:tcPr>
            <w:tcW w:w="5194" w:type="dxa"/>
            <w:vAlign w:val="center"/>
          </w:tcPr>
          <w:p w14:paraId="4635EF5F">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1.违法行为轻微并及时改正，没有造成危害后果的；</w:t>
            </w:r>
          </w:p>
          <w:p w14:paraId="543F6E51">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2.初次违法且危害后果轻微并及时改正的；</w:t>
            </w:r>
          </w:p>
          <w:p w14:paraId="2F009C3C">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3.有证据足以证明没有主观过错的。</w:t>
            </w:r>
          </w:p>
        </w:tc>
        <w:tc>
          <w:tcPr>
            <w:tcW w:w="3987" w:type="dxa"/>
            <w:vAlign w:val="center"/>
          </w:tcPr>
          <w:p w14:paraId="1E32442E">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《中华人民共和国行政处罚法》第三十三条</w:t>
            </w:r>
          </w:p>
        </w:tc>
      </w:tr>
      <w:tr w14:paraId="010A76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6CBC0524">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249" w:type="dxa"/>
            <w:vAlign w:val="center"/>
          </w:tcPr>
          <w:p w14:paraId="4FEF992E">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未经设立登记从事无需取得许可的经营活动的</w:t>
            </w:r>
          </w:p>
        </w:tc>
        <w:tc>
          <w:tcPr>
            <w:tcW w:w="5194" w:type="dxa"/>
            <w:vAlign w:val="center"/>
          </w:tcPr>
          <w:p w14:paraId="0C57EB3D">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1.违法行为轻微并及时改正，没有造成危害后果的；</w:t>
            </w:r>
          </w:p>
          <w:p w14:paraId="6FFF790C">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2.初次违法且危害后果轻微并及时改正的。</w:t>
            </w:r>
          </w:p>
        </w:tc>
        <w:tc>
          <w:tcPr>
            <w:tcW w:w="3987" w:type="dxa"/>
            <w:vAlign w:val="center"/>
          </w:tcPr>
          <w:p w14:paraId="2FB42C58">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《中华人民共和国行政处罚法》第三十三条</w:t>
            </w:r>
          </w:p>
        </w:tc>
      </w:tr>
      <w:tr w14:paraId="0A657B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283C459">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249" w:type="dxa"/>
            <w:vAlign w:val="center"/>
          </w:tcPr>
          <w:p w14:paraId="743CA7B4">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广告中使用“国家级”、“最高级”、“最佳”等用语的</w:t>
            </w:r>
          </w:p>
        </w:tc>
        <w:tc>
          <w:tcPr>
            <w:tcW w:w="5194" w:type="dxa"/>
            <w:vAlign w:val="center"/>
          </w:tcPr>
          <w:p w14:paraId="238D7B60">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初次或轻微违法且未发生不良社会影响且及时整改并自行发布广告。</w:t>
            </w:r>
          </w:p>
        </w:tc>
        <w:tc>
          <w:tcPr>
            <w:tcW w:w="3987" w:type="dxa"/>
            <w:vAlign w:val="center"/>
          </w:tcPr>
          <w:p w14:paraId="2BD5054D">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4BD9DA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4635CD25">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4249" w:type="dxa"/>
            <w:vAlign w:val="center"/>
          </w:tcPr>
          <w:p w14:paraId="6EAB8A07">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广告中涉及专利产品或者专利方法，已取得合法有效专利证明，未标明专利号和专利种类的</w:t>
            </w:r>
          </w:p>
        </w:tc>
        <w:tc>
          <w:tcPr>
            <w:tcW w:w="5194" w:type="dxa"/>
            <w:vAlign w:val="center"/>
          </w:tcPr>
          <w:p w14:paraId="5FA368E3">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初次或轻微违法且未发生不良社会影响并及时整改。</w:t>
            </w:r>
          </w:p>
        </w:tc>
        <w:tc>
          <w:tcPr>
            <w:tcW w:w="3987" w:type="dxa"/>
            <w:vAlign w:val="center"/>
          </w:tcPr>
          <w:p w14:paraId="7E3D7F4C">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09F1A3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0432B222">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4249" w:type="dxa"/>
            <w:vAlign w:val="center"/>
          </w:tcPr>
          <w:p w14:paraId="031BF299">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广告引证内容合法有据，未在广告中表明出处的</w:t>
            </w:r>
          </w:p>
        </w:tc>
        <w:tc>
          <w:tcPr>
            <w:tcW w:w="5194" w:type="dxa"/>
            <w:vAlign w:val="center"/>
          </w:tcPr>
          <w:p w14:paraId="0D6C926A">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初次或轻微违法且未发生不良社会影响并及时整改。</w:t>
            </w:r>
          </w:p>
        </w:tc>
        <w:tc>
          <w:tcPr>
            <w:tcW w:w="3987" w:type="dxa"/>
            <w:vAlign w:val="center"/>
          </w:tcPr>
          <w:p w14:paraId="3E2BD06D">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0C43E3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72A1FFE0">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4249" w:type="dxa"/>
            <w:vAlign w:val="center"/>
          </w:tcPr>
          <w:p w14:paraId="79D8B1C2">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已取得广告批准文号的药品、医疗器械、保健食品和特殊医学用途配方食品广告，未显著标明广告批准文号的</w:t>
            </w:r>
          </w:p>
        </w:tc>
        <w:tc>
          <w:tcPr>
            <w:tcW w:w="5194" w:type="dxa"/>
            <w:vAlign w:val="center"/>
          </w:tcPr>
          <w:p w14:paraId="19D55100">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初次或轻微违法且未发生不良社会影响并及时整改。</w:t>
            </w:r>
          </w:p>
        </w:tc>
        <w:tc>
          <w:tcPr>
            <w:tcW w:w="3987" w:type="dxa"/>
            <w:vAlign w:val="center"/>
          </w:tcPr>
          <w:p w14:paraId="4F6F606F">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3CD169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34E4B02A">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4249" w:type="dxa"/>
            <w:vAlign w:val="center"/>
          </w:tcPr>
          <w:p w14:paraId="6FFB61D0">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已取得预售或者销售许可证的房地产项目，预售或者销售广告未载明预售或者销售许可证书号的</w:t>
            </w:r>
          </w:p>
        </w:tc>
        <w:tc>
          <w:tcPr>
            <w:tcW w:w="5194" w:type="dxa"/>
            <w:vAlign w:val="center"/>
          </w:tcPr>
          <w:p w14:paraId="44F67928">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初次或轻微违法且未发生不良社会影响并及时整改。</w:t>
            </w:r>
          </w:p>
        </w:tc>
        <w:tc>
          <w:tcPr>
            <w:tcW w:w="3987" w:type="dxa"/>
            <w:vAlign w:val="center"/>
          </w:tcPr>
          <w:p w14:paraId="2BE7479D">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03EB73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4778ABC">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4249" w:type="dxa"/>
            <w:vAlign w:val="center"/>
          </w:tcPr>
          <w:p w14:paraId="59056708">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属于非强制检定范围的计量器具未自行定期检定或者送其他计量检定机构定期检定</w:t>
            </w:r>
          </w:p>
        </w:tc>
        <w:tc>
          <w:tcPr>
            <w:tcW w:w="5194" w:type="dxa"/>
            <w:vAlign w:val="center"/>
          </w:tcPr>
          <w:p w14:paraId="6903C8D5">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初次或轻微违法且未发生不良社会影响并发现后主动送检且检定合格的。</w:t>
            </w:r>
          </w:p>
        </w:tc>
        <w:tc>
          <w:tcPr>
            <w:tcW w:w="3987" w:type="dxa"/>
            <w:vAlign w:val="center"/>
          </w:tcPr>
          <w:p w14:paraId="097082A5">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048FA1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7379828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9</w:t>
            </w:r>
          </w:p>
        </w:tc>
        <w:tc>
          <w:tcPr>
            <w:tcW w:w="4249" w:type="dxa"/>
            <w:vAlign w:val="center"/>
          </w:tcPr>
          <w:p w14:paraId="051B3662">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经营者未按规定明码标价</w:t>
            </w:r>
          </w:p>
        </w:tc>
        <w:tc>
          <w:tcPr>
            <w:tcW w:w="5194" w:type="dxa"/>
            <w:vAlign w:val="center"/>
          </w:tcPr>
          <w:p w14:paraId="5E3EAB1A">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未发生不良社会影响，且有下列情形之一的：1.采用开架柜台等自选方式售货的超市、药店等经营者，在售商品众多，个别商品货签不对位的；</w:t>
            </w:r>
          </w:p>
          <w:p w14:paraId="07F4946D">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2.在售商品种类繁多、数量巨大的超市、药店等经营者，极少部分商品没有明码标价的；</w:t>
            </w:r>
          </w:p>
          <w:p w14:paraId="54F4F291">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3.违反明码标价规定，存在不按规定的内容和方式明码标价行为（例如标价方式不规范、不醒目），但不影响消费者知情权、选择权的；</w:t>
            </w:r>
          </w:p>
          <w:p w14:paraId="4FB8DD31">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4.可采取口头协商议价方式销售商品的菜市场、农贸市场、土产杂货店等经营者，销售商品时未明码标价，但不影响消费者知情权、选择权的。</w:t>
            </w:r>
          </w:p>
        </w:tc>
        <w:tc>
          <w:tcPr>
            <w:tcW w:w="3987" w:type="dxa"/>
            <w:vAlign w:val="center"/>
          </w:tcPr>
          <w:p w14:paraId="702B915A">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1871B4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522D7DC">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4249" w:type="dxa"/>
            <w:vAlign w:val="center"/>
          </w:tcPr>
          <w:p w14:paraId="123EFFA2">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药品经营企业购销药品，没有及时登记购销记录，个别项目记录不全</w:t>
            </w:r>
          </w:p>
        </w:tc>
        <w:tc>
          <w:tcPr>
            <w:tcW w:w="5194" w:type="dxa"/>
            <w:vAlign w:val="center"/>
          </w:tcPr>
          <w:p w14:paraId="7A53D80D">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初次或轻微违法且未发生不良社会影响且索证索票齐全、不影响追溯并及时整改。</w:t>
            </w:r>
          </w:p>
        </w:tc>
        <w:tc>
          <w:tcPr>
            <w:tcW w:w="3987" w:type="dxa"/>
            <w:vAlign w:val="center"/>
          </w:tcPr>
          <w:p w14:paraId="41EE01DE">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2C5327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70917EA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11</w:t>
            </w:r>
          </w:p>
        </w:tc>
        <w:tc>
          <w:tcPr>
            <w:tcW w:w="4249" w:type="dxa"/>
            <w:vAlign w:val="center"/>
          </w:tcPr>
          <w:p w14:paraId="3E2F7AB4">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药品经营企业零售药品，未正确说明用法、用量等事项，或者未按照规定调配处方的</w:t>
            </w:r>
          </w:p>
        </w:tc>
        <w:tc>
          <w:tcPr>
            <w:tcW w:w="5194" w:type="dxa"/>
            <w:vAlign w:val="center"/>
          </w:tcPr>
          <w:p w14:paraId="44C63D40">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初次或轻微违法且未发生不良社会影响并及时整改。</w:t>
            </w:r>
          </w:p>
        </w:tc>
        <w:tc>
          <w:tcPr>
            <w:tcW w:w="3987" w:type="dxa"/>
            <w:vAlign w:val="center"/>
          </w:tcPr>
          <w:p w14:paraId="58D4BC0E">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5CA906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58F8523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12</w:t>
            </w:r>
          </w:p>
        </w:tc>
        <w:tc>
          <w:tcPr>
            <w:tcW w:w="4249" w:type="dxa"/>
            <w:vAlign w:val="center"/>
          </w:tcPr>
          <w:p w14:paraId="5DAF228E">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药品经营企业无专职或者兼职人员负责本单位药品不良反应监测工作的</w:t>
            </w:r>
          </w:p>
        </w:tc>
        <w:tc>
          <w:tcPr>
            <w:tcW w:w="5194" w:type="dxa"/>
            <w:vAlign w:val="center"/>
          </w:tcPr>
          <w:p w14:paraId="14AFBF89">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初次或轻微违法且未发生不良社会影响并及时整改。</w:t>
            </w:r>
          </w:p>
        </w:tc>
        <w:tc>
          <w:tcPr>
            <w:tcW w:w="3987" w:type="dxa"/>
            <w:vAlign w:val="center"/>
          </w:tcPr>
          <w:p w14:paraId="0EDEC732">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15658A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067C867C">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13</w:t>
            </w:r>
          </w:p>
        </w:tc>
        <w:tc>
          <w:tcPr>
            <w:tcW w:w="4249" w:type="dxa"/>
            <w:vAlign w:val="center"/>
          </w:tcPr>
          <w:p w14:paraId="6C832017">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医疗器械经营企业、使用单位未按照要求配备与其经营或者使用规模相适应的机构或者人员从事医疗器械不良事件监测相关工作的</w:t>
            </w:r>
          </w:p>
        </w:tc>
        <w:tc>
          <w:tcPr>
            <w:tcW w:w="5194" w:type="dxa"/>
            <w:vAlign w:val="center"/>
          </w:tcPr>
          <w:p w14:paraId="61BDF7EF">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初次或轻微违法且未发生不良社会影响并及时整改。</w:t>
            </w:r>
          </w:p>
        </w:tc>
        <w:tc>
          <w:tcPr>
            <w:tcW w:w="3987" w:type="dxa"/>
            <w:vAlign w:val="center"/>
          </w:tcPr>
          <w:p w14:paraId="0E9422CB">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60C171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jc w:val="center"/>
        </w:trPr>
        <w:tc>
          <w:tcPr>
            <w:tcW w:w="14340" w:type="dxa"/>
            <w:gridSpan w:val="4"/>
            <w:vAlign w:val="center"/>
          </w:tcPr>
          <w:p w14:paraId="4767BCEB">
            <w:pPr>
              <w:keepNext w:val="0"/>
              <w:keepLines w:val="0"/>
              <w:pageBreakBefore w:val="0"/>
              <w:widowControl/>
              <w:kinsoku/>
              <w:wordWrap/>
              <w:overflowPunct/>
              <w:topLinePunct w:val="0"/>
              <w:autoSpaceDE/>
              <w:autoSpaceDN/>
              <w:bidi w:val="0"/>
              <w:adjustRightInd/>
              <w:snapToGrid/>
              <w:spacing w:line="400" w:lineRule="exact"/>
              <w:jc w:val="center"/>
              <w:rPr>
                <w:rFonts w:ascii="仿宋_GB2312" w:hAnsi="宋体" w:eastAsia="仿宋_GB2312" w:cs="宋体"/>
                <w:color w:val="000000"/>
                <w:sz w:val="32"/>
                <w:szCs w:val="32"/>
              </w:rPr>
            </w:pPr>
            <w:r>
              <w:rPr>
                <w:rFonts w:hint="eastAsia" w:ascii="方正小标宋简体" w:eastAsia="方正小标宋简体"/>
                <w:sz w:val="32"/>
                <w:szCs w:val="32"/>
              </w:rPr>
              <w:t>减轻处罚事项清单</w:t>
            </w:r>
          </w:p>
        </w:tc>
      </w:tr>
      <w:tr w14:paraId="1AD35B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731DAECF">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序号</w:t>
            </w:r>
          </w:p>
        </w:tc>
        <w:tc>
          <w:tcPr>
            <w:tcW w:w="4249" w:type="dxa"/>
            <w:vAlign w:val="center"/>
          </w:tcPr>
          <w:p w14:paraId="6FEF84EF">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处罚事项</w:t>
            </w:r>
          </w:p>
        </w:tc>
        <w:tc>
          <w:tcPr>
            <w:tcW w:w="5194" w:type="dxa"/>
            <w:vAlign w:val="center"/>
          </w:tcPr>
          <w:p w14:paraId="227F1C1F">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减轻</w:t>
            </w:r>
            <w:r>
              <w:rPr>
                <w:rFonts w:ascii="黑体" w:hAnsi="黑体" w:eastAsia="黑体"/>
                <w:sz w:val="28"/>
                <w:szCs w:val="28"/>
              </w:rPr>
              <w:t>处罚的情形</w:t>
            </w:r>
          </w:p>
        </w:tc>
        <w:tc>
          <w:tcPr>
            <w:tcW w:w="3987" w:type="dxa"/>
            <w:vAlign w:val="center"/>
          </w:tcPr>
          <w:p w14:paraId="4E78236F">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减轻</w:t>
            </w:r>
            <w:r>
              <w:rPr>
                <w:rFonts w:ascii="黑体" w:hAnsi="黑体" w:eastAsia="黑体"/>
                <w:sz w:val="28"/>
                <w:szCs w:val="28"/>
              </w:rPr>
              <w:t>处罚的依据</w:t>
            </w:r>
          </w:p>
        </w:tc>
      </w:tr>
      <w:tr w14:paraId="3C4B4E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0C0840B">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w:t>
            </w:r>
          </w:p>
        </w:tc>
        <w:tc>
          <w:tcPr>
            <w:tcW w:w="4249" w:type="dxa"/>
            <w:vAlign w:val="center"/>
          </w:tcPr>
          <w:p w14:paraId="56CC24FB">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sz w:val="24"/>
                <w:szCs w:val="24"/>
              </w:rPr>
            </w:pPr>
            <w:r>
              <w:rPr>
                <w:rFonts w:hint="eastAsia" w:cs="宋体" w:asciiTheme="minorEastAsia" w:hAnsiTheme="minorEastAsia"/>
                <w:color w:val="000000"/>
                <w:sz w:val="24"/>
                <w:szCs w:val="24"/>
              </w:rPr>
              <w:t>虚假广告违法行为</w:t>
            </w:r>
          </w:p>
        </w:tc>
        <w:tc>
          <w:tcPr>
            <w:tcW w:w="5194" w:type="dxa"/>
            <w:vAlign w:val="center"/>
          </w:tcPr>
          <w:p w14:paraId="2F0200E1">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sz w:val="24"/>
                <w:szCs w:val="24"/>
              </w:rPr>
            </w:pPr>
            <w:r>
              <w:rPr>
                <w:rFonts w:hint="eastAsia" w:cs="宋体" w:asciiTheme="minorEastAsia" w:hAnsiTheme="minorEastAsia"/>
                <w:color w:val="000000"/>
                <w:sz w:val="24"/>
                <w:szCs w:val="24"/>
              </w:rPr>
              <w:t xml:space="preserve">1.主动消除或者减轻危害后果； </w:t>
            </w:r>
          </w:p>
          <w:p w14:paraId="3E9463B2">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color w:val="000000"/>
                <w:sz w:val="24"/>
                <w:szCs w:val="24"/>
              </w:rPr>
            </w:pPr>
            <w:r>
              <w:rPr>
                <w:rFonts w:hint="eastAsia" w:cs="宋体" w:asciiTheme="minorEastAsia" w:hAnsiTheme="minorEastAsia"/>
                <w:color w:val="000000"/>
                <w:sz w:val="24"/>
                <w:szCs w:val="24"/>
              </w:rPr>
              <w:t>2.未造成其他严重危害后果。</w:t>
            </w:r>
          </w:p>
        </w:tc>
        <w:tc>
          <w:tcPr>
            <w:tcW w:w="3987" w:type="dxa"/>
            <w:vAlign w:val="center"/>
          </w:tcPr>
          <w:p w14:paraId="1F2D589E">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sz w:val="24"/>
                <w:szCs w:val="24"/>
              </w:rPr>
            </w:pPr>
            <w:r>
              <w:rPr>
                <w:rFonts w:hint="eastAsia" w:cs="仿宋_GB2312" w:asciiTheme="minorEastAsia" w:hAnsiTheme="minorEastAsia"/>
                <w:sz w:val="24"/>
                <w:szCs w:val="24"/>
              </w:rPr>
              <w:t>《行政处罚法》第三十二条</w:t>
            </w:r>
          </w:p>
        </w:tc>
      </w:tr>
      <w:tr w14:paraId="14B5AC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63E694AE">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2</w:t>
            </w:r>
          </w:p>
        </w:tc>
        <w:tc>
          <w:tcPr>
            <w:tcW w:w="4249" w:type="dxa"/>
            <w:vAlign w:val="center"/>
          </w:tcPr>
          <w:p w14:paraId="0DFE4A6D">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sz w:val="24"/>
                <w:szCs w:val="24"/>
              </w:rPr>
            </w:pPr>
            <w:r>
              <w:rPr>
                <w:rFonts w:hint="eastAsia" w:cs="宋体" w:asciiTheme="minorEastAsia" w:hAnsiTheme="minorEastAsia"/>
                <w:color w:val="000000"/>
                <w:sz w:val="24"/>
                <w:szCs w:val="24"/>
              </w:rPr>
              <w:t>经营者对商品作虚假或者引人误解的商业宣传</w:t>
            </w:r>
          </w:p>
        </w:tc>
        <w:tc>
          <w:tcPr>
            <w:tcW w:w="5194" w:type="dxa"/>
            <w:vAlign w:val="center"/>
          </w:tcPr>
          <w:p w14:paraId="048A284A">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color w:val="000000"/>
                <w:sz w:val="24"/>
                <w:szCs w:val="24"/>
              </w:rPr>
            </w:pPr>
            <w:r>
              <w:rPr>
                <w:rFonts w:hint="eastAsia" w:cs="宋体" w:asciiTheme="minorEastAsia" w:hAnsiTheme="minorEastAsia"/>
                <w:color w:val="000000"/>
                <w:sz w:val="24"/>
                <w:szCs w:val="24"/>
              </w:rPr>
              <w:t>1.主动消除或者减轻危害后果；</w:t>
            </w:r>
          </w:p>
          <w:p w14:paraId="19CE8DEB">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color w:val="000000"/>
                <w:sz w:val="24"/>
                <w:szCs w:val="24"/>
              </w:rPr>
            </w:pPr>
            <w:r>
              <w:rPr>
                <w:rFonts w:hint="eastAsia" w:cs="宋体" w:asciiTheme="minorEastAsia" w:hAnsiTheme="minorEastAsia"/>
                <w:color w:val="000000"/>
                <w:sz w:val="24"/>
                <w:szCs w:val="24"/>
              </w:rPr>
              <w:t>2.未造成其他严重危害后果。</w:t>
            </w:r>
          </w:p>
        </w:tc>
        <w:tc>
          <w:tcPr>
            <w:tcW w:w="3987" w:type="dxa"/>
            <w:vAlign w:val="center"/>
          </w:tcPr>
          <w:p w14:paraId="685C1D80">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color w:val="000000"/>
                <w:sz w:val="24"/>
                <w:szCs w:val="24"/>
              </w:rPr>
            </w:pPr>
            <w:r>
              <w:rPr>
                <w:rFonts w:hint="eastAsia" w:cs="宋体" w:asciiTheme="minorEastAsia" w:hAnsiTheme="minorEastAsia"/>
                <w:color w:val="000000"/>
                <w:sz w:val="24"/>
                <w:szCs w:val="24"/>
              </w:rPr>
              <w:t>《反不正当竞争法》第二十五条</w:t>
            </w:r>
            <w:r>
              <w:rPr>
                <w:rFonts w:hint="eastAsia" w:cs="宋体" w:asciiTheme="minorEastAsia" w:hAnsiTheme="minorEastAsia"/>
                <w:color w:val="000000"/>
                <w:sz w:val="24"/>
                <w:szCs w:val="24"/>
                <w:lang w:eastAsia="zh-CN"/>
              </w:rPr>
              <w:t>、</w:t>
            </w:r>
            <w:r>
              <w:rPr>
                <w:rFonts w:hint="eastAsia" w:cs="仿宋_GB2312" w:asciiTheme="minorEastAsia" w:hAnsiTheme="minorEastAsia"/>
                <w:sz w:val="24"/>
                <w:szCs w:val="24"/>
              </w:rPr>
              <w:t>《行政处罚法》第三十二条</w:t>
            </w:r>
          </w:p>
        </w:tc>
      </w:tr>
      <w:tr w14:paraId="29DD6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433528D3">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p>
          <w:p w14:paraId="49001959">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3</w:t>
            </w:r>
          </w:p>
        </w:tc>
        <w:tc>
          <w:tcPr>
            <w:tcW w:w="4249" w:type="dxa"/>
            <w:vAlign w:val="center"/>
          </w:tcPr>
          <w:p w14:paraId="3B78D110">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未取得食品经营许可从事食品经营</w:t>
            </w:r>
          </w:p>
        </w:tc>
        <w:tc>
          <w:tcPr>
            <w:tcW w:w="5194" w:type="dxa"/>
            <w:vAlign w:val="center"/>
          </w:tcPr>
          <w:p w14:paraId="48B57C26">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1.未取得食品经营许可证：经营时间较短；所涉货值金额较小；未发生食品安全事故；积极整改。</w:t>
            </w:r>
          </w:p>
          <w:p w14:paraId="40ED4B35">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2.已取得食品经营许可证，超出许可项目经营：未发生食品安全事故；积极整改。</w:t>
            </w:r>
          </w:p>
        </w:tc>
        <w:tc>
          <w:tcPr>
            <w:tcW w:w="3987" w:type="dxa"/>
            <w:vAlign w:val="center"/>
          </w:tcPr>
          <w:p w14:paraId="65BAC6CB">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243368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7580DC19">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4</w:t>
            </w:r>
          </w:p>
          <w:p w14:paraId="12F86BC0">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p>
        </w:tc>
        <w:tc>
          <w:tcPr>
            <w:tcW w:w="4249" w:type="dxa"/>
            <w:vAlign w:val="center"/>
          </w:tcPr>
          <w:p w14:paraId="785CDBB3">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经营超过保质期的食品、食品添加剂</w:t>
            </w:r>
          </w:p>
        </w:tc>
        <w:tc>
          <w:tcPr>
            <w:tcW w:w="5194" w:type="dxa"/>
            <w:vAlign w:val="center"/>
          </w:tcPr>
          <w:p w14:paraId="07D6BA73">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所涉货值金额较小；未发生食品安全事故；积极整改。</w:t>
            </w:r>
          </w:p>
        </w:tc>
        <w:tc>
          <w:tcPr>
            <w:tcW w:w="3987" w:type="dxa"/>
            <w:vAlign w:val="center"/>
          </w:tcPr>
          <w:p w14:paraId="07D453D4">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231F97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25871B73">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5</w:t>
            </w:r>
          </w:p>
          <w:p w14:paraId="6E148765">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p>
        </w:tc>
        <w:tc>
          <w:tcPr>
            <w:tcW w:w="4249" w:type="dxa"/>
            <w:vAlign w:val="center"/>
          </w:tcPr>
          <w:p w14:paraId="067DE02E">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经营标签不符合食品安全法规定的预包装食品，同时符合下列条件的</w:t>
            </w:r>
          </w:p>
        </w:tc>
        <w:tc>
          <w:tcPr>
            <w:tcW w:w="5194" w:type="dxa"/>
            <w:vAlign w:val="center"/>
          </w:tcPr>
          <w:p w14:paraId="06EEC3BA">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不属于《食品安全法》第一百二十五条第二款规定情形；违法经营时间较短；货值金额较小；未发生食品安全事故或者不良社会影响；积极整改。</w:t>
            </w:r>
          </w:p>
        </w:tc>
        <w:tc>
          <w:tcPr>
            <w:tcW w:w="3987" w:type="dxa"/>
            <w:vAlign w:val="center"/>
          </w:tcPr>
          <w:p w14:paraId="4F6C4D83">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43F6DE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2CFAE328">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6</w:t>
            </w:r>
          </w:p>
        </w:tc>
        <w:tc>
          <w:tcPr>
            <w:tcW w:w="4249" w:type="dxa"/>
            <w:vAlign w:val="center"/>
          </w:tcPr>
          <w:p w14:paraId="142E781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生产经营的特殊食品的标签、说明书内容与注册或者备案的标签、说明书不一致</w:t>
            </w:r>
          </w:p>
        </w:tc>
        <w:tc>
          <w:tcPr>
            <w:tcW w:w="5194" w:type="dxa"/>
            <w:vAlign w:val="center"/>
          </w:tcPr>
          <w:p w14:paraId="4E4A0AE8">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货值金额较小；未发生食品安全事故或者不良社会影响；及时改正。</w:t>
            </w:r>
          </w:p>
        </w:tc>
        <w:tc>
          <w:tcPr>
            <w:tcW w:w="3987" w:type="dxa"/>
            <w:vAlign w:val="center"/>
          </w:tcPr>
          <w:p w14:paraId="76D745F3">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11182F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68D5752">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7</w:t>
            </w:r>
          </w:p>
        </w:tc>
        <w:tc>
          <w:tcPr>
            <w:tcW w:w="4249" w:type="dxa"/>
            <w:vAlign w:val="center"/>
          </w:tcPr>
          <w:p w14:paraId="63F75238">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发布已过广告审批有效期的药品、医疗器械、保健食品和特殊医学用途配方食品广告的</w:t>
            </w:r>
          </w:p>
        </w:tc>
        <w:tc>
          <w:tcPr>
            <w:tcW w:w="5194" w:type="dxa"/>
            <w:vAlign w:val="center"/>
          </w:tcPr>
          <w:p w14:paraId="4A62EE27">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逾期时间较短；广告发布内容与原审查批准内容一致；积极整改。</w:t>
            </w:r>
          </w:p>
        </w:tc>
        <w:tc>
          <w:tcPr>
            <w:tcW w:w="3987" w:type="dxa"/>
            <w:vAlign w:val="center"/>
          </w:tcPr>
          <w:p w14:paraId="046A3EEF">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2479B8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564ABA1A">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8</w:t>
            </w:r>
          </w:p>
        </w:tc>
        <w:tc>
          <w:tcPr>
            <w:tcW w:w="4249" w:type="dxa"/>
            <w:vAlign w:val="center"/>
          </w:tcPr>
          <w:p w14:paraId="7B8DEF98">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认证机构未按规定实施有效的跟踪调查</w:t>
            </w:r>
          </w:p>
        </w:tc>
        <w:tc>
          <w:tcPr>
            <w:tcW w:w="5194" w:type="dxa"/>
            <w:vAlign w:val="center"/>
          </w:tcPr>
          <w:p w14:paraId="1AC2CE80">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违法行为持续时间较短；及时改正；经其认证的产品、服务、管理体系未产生危害后果。</w:t>
            </w:r>
          </w:p>
        </w:tc>
        <w:tc>
          <w:tcPr>
            <w:tcW w:w="3987" w:type="dxa"/>
            <w:vAlign w:val="center"/>
          </w:tcPr>
          <w:p w14:paraId="3BD7AD81">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290F16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27A10904">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9</w:t>
            </w:r>
          </w:p>
        </w:tc>
        <w:tc>
          <w:tcPr>
            <w:tcW w:w="4249" w:type="dxa"/>
            <w:vAlign w:val="center"/>
          </w:tcPr>
          <w:p w14:paraId="321EE6A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擅自销售或者在其他经营活动中使用列入目录未经认证的产品</w:t>
            </w:r>
          </w:p>
        </w:tc>
        <w:tc>
          <w:tcPr>
            <w:tcW w:w="5194" w:type="dxa"/>
            <w:vAlign w:val="center"/>
          </w:tcPr>
          <w:p w14:paraId="3EF080BF">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违法行为持续时间较短；违法销售经营额较小；未发生产品质量事故；积极整改，消除危害后果的；当事人不知产品未取得强制性认证。</w:t>
            </w:r>
          </w:p>
        </w:tc>
        <w:tc>
          <w:tcPr>
            <w:tcW w:w="3987" w:type="dxa"/>
            <w:vAlign w:val="center"/>
          </w:tcPr>
          <w:p w14:paraId="7F1E2C64">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624907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2EE7D0B6">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10</w:t>
            </w:r>
          </w:p>
        </w:tc>
        <w:tc>
          <w:tcPr>
            <w:tcW w:w="4249" w:type="dxa"/>
            <w:vAlign w:val="center"/>
          </w:tcPr>
          <w:p w14:paraId="10BADAE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销售或者在经营活动中使用未取得生产许可证的列入目录的产品</w:t>
            </w:r>
          </w:p>
        </w:tc>
        <w:tc>
          <w:tcPr>
            <w:tcW w:w="5194" w:type="dxa"/>
            <w:vAlign w:val="center"/>
          </w:tcPr>
          <w:p w14:paraId="466AEF9C">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违法行为持续时间较短；违法经营额少较小；未发生产品质量事故；主动采取有效措施消除或者减轻危害后果；有证据表明，当事人不知产品未取得生产许可证。</w:t>
            </w:r>
          </w:p>
        </w:tc>
        <w:tc>
          <w:tcPr>
            <w:tcW w:w="3987" w:type="dxa"/>
            <w:vAlign w:val="center"/>
          </w:tcPr>
          <w:p w14:paraId="54BF0442">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4FF020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150B0AE">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11</w:t>
            </w:r>
          </w:p>
        </w:tc>
        <w:tc>
          <w:tcPr>
            <w:tcW w:w="4249" w:type="dxa"/>
            <w:vAlign w:val="center"/>
          </w:tcPr>
          <w:p w14:paraId="46C62BCD">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取得生产许可的企业未能持续保持取得生产许可的规定条件</w:t>
            </w:r>
          </w:p>
        </w:tc>
        <w:tc>
          <w:tcPr>
            <w:tcW w:w="5194" w:type="dxa"/>
            <w:vAlign w:val="center"/>
          </w:tcPr>
          <w:p w14:paraId="7A65DC3F">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违法行为持续时间较短；未造成危害后果；及时整改。</w:t>
            </w:r>
          </w:p>
          <w:p w14:paraId="0871CD61">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p>
        </w:tc>
        <w:tc>
          <w:tcPr>
            <w:tcW w:w="3987" w:type="dxa"/>
            <w:vAlign w:val="center"/>
          </w:tcPr>
          <w:p w14:paraId="7AD6D0BA">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7DBEBE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jc w:val="center"/>
        </w:trPr>
        <w:tc>
          <w:tcPr>
            <w:tcW w:w="910" w:type="dxa"/>
            <w:vAlign w:val="center"/>
          </w:tcPr>
          <w:p w14:paraId="41BAB314">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12</w:t>
            </w:r>
          </w:p>
        </w:tc>
        <w:tc>
          <w:tcPr>
            <w:tcW w:w="4249" w:type="dxa"/>
            <w:vAlign w:val="center"/>
          </w:tcPr>
          <w:p w14:paraId="4868897C">
            <w:pPr>
              <w:keepNext w:val="0"/>
              <w:keepLines w:val="0"/>
              <w:pageBreakBefore w:val="0"/>
              <w:kinsoku/>
              <w:wordWrap/>
              <w:overflowPunct/>
              <w:topLinePunct w:val="0"/>
              <w:autoSpaceDE/>
              <w:autoSpaceDN/>
              <w:bidi w:val="0"/>
              <w:adjustRightInd/>
              <w:snapToGrid/>
              <w:spacing w:line="400" w:lineRule="exact"/>
              <w:jc w:val="both"/>
              <w:rPr>
                <w:rFonts w:hint="eastAsia" w:eastAsia="宋体" w:cs="仿宋_GB2312" w:asciiTheme="minorEastAsia" w:hAnsiTheme="minorEastAsia"/>
                <w:sz w:val="24"/>
                <w:szCs w:val="24"/>
                <w:lang w:val="en-US" w:eastAsia="zh-CN"/>
              </w:rPr>
            </w:pPr>
            <w:r>
              <w:rPr>
                <w:rFonts w:hint="eastAsia" w:cs="仿宋_GB2312" w:asciiTheme="minorEastAsia" w:hAnsiTheme="minorEastAsia"/>
                <w:sz w:val="24"/>
                <w:szCs w:val="24"/>
              </w:rPr>
              <w:t>未按规定设置</w:t>
            </w:r>
            <w:r>
              <w:rPr>
                <w:rFonts w:hint="eastAsia" w:cs="仿宋_GB2312" w:asciiTheme="minorEastAsia" w:hAnsiTheme="minorEastAsia"/>
                <w:sz w:val="24"/>
                <w:szCs w:val="24"/>
                <w:lang w:val="en-US" w:eastAsia="zh-CN"/>
              </w:rPr>
              <w:t>公平秤</w:t>
            </w:r>
          </w:p>
        </w:tc>
        <w:tc>
          <w:tcPr>
            <w:tcW w:w="5194" w:type="dxa"/>
            <w:vAlign w:val="center"/>
          </w:tcPr>
          <w:p w14:paraId="20A5D744">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未造成危害后果及其他不良影响；及时整改。</w:t>
            </w:r>
          </w:p>
        </w:tc>
        <w:tc>
          <w:tcPr>
            <w:tcW w:w="3987" w:type="dxa"/>
            <w:vAlign w:val="center"/>
          </w:tcPr>
          <w:p w14:paraId="180417EA">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7E2C0E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2" w:hRule="atLeast"/>
          <w:jc w:val="center"/>
        </w:trPr>
        <w:tc>
          <w:tcPr>
            <w:tcW w:w="910" w:type="dxa"/>
            <w:vAlign w:val="center"/>
          </w:tcPr>
          <w:p w14:paraId="42A212E4">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13</w:t>
            </w:r>
          </w:p>
        </w:tc>
        <w:tc>
          <w:tcPr>
            <w:tcW w:w="4249" w:type="dxa"/>
            <w:vAlign w:val="center"/>
          </w:tcPr>
          <w:p w14:paraId="11B538A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电子商务经营者违法搭售商品、服务</w:t>
            </w:r>
          </w:p>
        </w:tc>
        <w:tc>
          <w:tcPr>
            <w:tcW w:w="5194" w:type="dxa"/>
            <w:vAlign w:val="center"/>
          </w:tcPr>
          <w:p w14:paraId="61FA37CC">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持续时间较短；所涉经营额较少；未造成不良社会影响；及时改正。</w:t>
            </w:r>
          </w:p>
        </w:tc>
        <w:tc>
          <w:tcPr>
            <w:tcW w:w="3987" w:type="dxa"/>
            <w:vAlign w:val="center"/>
          </w:tcPr>
          <w:p w14:paraId="27603110">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51B685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085ECC70">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14</w:t>
            </w:r>
          </w:p>
        </w:tc>
        <w:tc>
          <w:tcPr>
            <w:tcW w:w="4249" w:type="dxa"/>
            <w:vAlign w:val="center"/>
          </w:tcPr>
          <w:p w14:paraId="574CD26D">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电子商务经营者未向消费者明示押金退还方式、程序</w:t>
            </w:r>
          </w:p>
        </w:tc>
        <w:tc>
          <w:tcPr>
            <w:tcW w:w="5194" w:type="dxa"/>
            <w:vAlign w:val="center"/>
          </w:tcPr>
          <w:p w14:paraId="1A83A7FD">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违法行为持续时间较短；未造成不良社会影响；积极进行整改。</w:t>
            </w:r>
          </w:p>
        </w:tc>
        <w:tc>
          <w:tcPr>
            <w:tcW w:w="3987" w:type="dxa"/>
            <w:vAlign w:val="center"/>
          </w:tcPr>
          <w:p w14:paraId="0984E261">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p w14:paraId="76172165">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p>
        </w:tc>
      </w:tr>
      <w:tr w14:paraId="743283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687BE6AA">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15</w:t>
            </w:r>
          </w:p>
        </w:tc>
        <w:tc>
          <w:tcPr>
            <w:tcW w:w="4249" w:type="dxa"/>
            <w:vAlign w:val="center"/>
          </w:tcPr>
          <w:p w14:paraId="25797C81">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化妆品经营者未按规定建立并执行进货查验制度和产品销售记录制度</w:t>
            </w:r>
          </w:p>
        </w:tc>
        <w:tc>
          <w:tcPr>
            <w:tcW w:w="5194" w:type="dxa"/>
            <w:vAlign w:val="center"/>
          </w:tcPr>
          <w:p w14:paraId="5F2293AE">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经营的化妆品为合格的普通用途化妆品；相关进货票据齐全，供货商资料齐全；及时改正。</w:t>
            </w:r>
          </w:p>
        </w:tc>
        <w:tc>
          <w:tcPr>
            <w:tcW w:w="3987" w:type="dxa"/>
            <w:vAlign w:val="center"/>
          </w:tcPr>
          <w:p w14:paraId="1E3A4EA3">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1AF8C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4" w:hRule="atLeast"/>
          <w:jc w:val="center"/>
        </w:trPr>
        <w:tc>
          <w:tcPr>
            <w:tcW w:w="14340" w:type="dxa"/>
            <w:gridSpan w:val="4"/>
            <w:vAlign w:val="center"/>
          </w:tcPr>
          <w:p w14:paraId="79582653">
            <w:pPr>
              <w:keepNext w:val="0"/>
              <w:keepLines w:val="0"/>
              <w:pageBreakBefore w:val="0"/>
              <w:widowControl/>
              <w:kinsoku/>
              <w:wordWrap/>
              <w:overflowPunct/>
              <w:topLinePunct w:val="0"/>
              <w:autoSpaceDE/>
              <w:autoSpaceDN/>
              <w:bidi w:val="0"/>
              <w:adjustRightInd/>
              <w:snapToGrid/>
              <w:spacing w:line="400" w:lineRule="exact"/>
              <w:jc w:val="center"/>
              <w:rPr>
                <w:rFonts w:ascii="方正小标宋简体" w:eastAsia="方正小标宋简体"/>
                <w:sz w:val="32"/>
                <w:szCs w:val="32"/>
              </w:rPr>
            </w:pPr>
            <w:r>
              <w:rPr>
                <w:rFonts w:hint="eastAsia" w:ascii="方正小标宋简体" w:eastAsia="方正小标宋简体"/>
                <w:sz w:val="32"/>
                <w:szCs w:val="32"/>
              </w:rPr>
              <w:t>从轻处罚事项清单</w:t>
            </w:r>
          </w:p>
        </w:tc>
      </w:tr>
      <w:tr w14:paraId="3D062E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253AFF3A">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序号</w:t>
            </w:r>
          </w:p>
        </w:tc>
        <w:tc>
          <w:tcPr>
            <w:tcW w:w="4249" w:type="dxa"/>
            <w:vAlign w:val="center"/>
          </w:tcPr>
          <w:p w14:paraId="3959CC8D">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处罚事项</w:t>
            </w:r>
          </w:p>
        </w:tc>
        <w:tc>
          <w:tcPr>
            <w:tcW w:w="5194" w:type="dxa"/>
            <w:vAlign w:val="center"/>
          </w:tcPr>
          <w:p w14:paraId="058835D1">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从轻</w:t>
            </w:r>
            <w:r>
              <w:rPr>
                <w:rFonts w:ascii="黑体" w:hAnsi="黑体" w:eastAsia="黑体"/>
                <w:sz w:val="28"/>
                <w:szCs w:val="28"/>
              </w:rPr>
              <w:t>处罚的情形</w:t>
            </w:r>
          </w:p>
        </w:tc>
        <w:tc>
          <w:tcPr>
            <w:tcW w:w="3987" w:type="dxa"/>
            <w:vAlign w:val="center"/>
          </w:tcPr>
          <w:p w14:paraId="7A2B7734">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从轻</w:t>
            </w:r>
            <w:r>
              <w:rPr>
                <w:rFonts w:ascii="黑体" w:hAnsi="黑体" w:eastAsia="黑体"/>
                <w:sz w:val="28"/>
                <w:szCs w:val="28"/>
              </w:rPr>
              <w:t>处罚的依据</w:t>
            </w:r>
          </w:p>
        </w:tc>
      </w:tr>
      <w:tr w14:paraId="7DEF39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50EAF667">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w:t>
            </w:r>
          </w:p>
        </w:tc>
        <w:tc>
          <w:tcPr>
            <w:tcW w:w="4249" w:type="dxa"/>
            <w:vAlign w:val="center"/>
          </w:tcPr>
          <w:p w14:paraId="79506991">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电子商务经营者未在首页显著位置公示营业执照信息、行政许可信息、属于不需要办理市场主体登记情形等信息，或者上述信息的链接标识的</w:t>
            </w:r>
          </w:p>
        </w:tc>
        <w:tc>
          <w:tcPr>
            <w:tcW w:w="5194" w:type="dxa"/>
            <w:vAlign w:val="center"/>
          </w:tcPr>
          <w:p w14:paraId="1A5C606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未造成不良社会影响的；及时整改。</w:t>
            </w:r>
          </w:p>
          <w:p w14:paraId="13D6DD98">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p>
        </w:tc>
        <w:tc>
          <w:tcPr>
            <w:tcW w:w="3987" w:type="dxa"/>
            <w:vAlign w:val="center"/>
          </w:tcPr>
          <w:p w14:paraId="419CE5E2">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p w14:paraId="31492A64">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p>
        </w:tc>
      </w:tr>
      <w:tr w14:paraId="5AF8C2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361B6772">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2</w:t>
            </w:r>
          </w:p>
        </w:tc>
        <w:tc>
          <w:tcPr>
            <w:tcW w:w="4249" w:type="dxa"/>
            <w:vAlign w:val="center"/>
          </w:tcPr>
          <w:p w14:paraId="3F1DD1AD">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未在首页显著位置持续公示平台服务协议、交易规则信息或者上述信息的链接标识等</w:t>
            </w:r>
          </w:p>
        </w:tc>
        <w:tc>
          <w:tcPr>
            <w:tcW w:w="5194" w:type="dxa"/>
            <w:vAlign w:val="center"/>
          </w:tcPr>
          <w:p w14:paraId="7E251082">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未造成不良社会影响的；及时整改。</w:t>
            </w:r>
          </w:p>
          <w:p w14:paraId="6E889DC5">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p>
        </w:tc>
        <w:tc>
          <w:tcPr>
            <w:tcW w:w="3987" w:type="dxa"/>
            <w:vAlign w:val="center"/>
          </w:tcPr>
          <w:p w14:paraId="1E15CA83">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p w14:paraId="1B817765">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p>
        </w:tc>
      </w:tr>
      <w:tr w14:paraId="756411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76250197">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3</w:t>
            </w:r>
          </w:p>
        </w:tc>
        <w:tc>
          <w:tcPr>
            <w:tcW w:w="4249" w:type="dxa"/>
            <w:vAlign w:val="center"/>
          </w:tcPr>
          <w:p w14:paraId="792599F8">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销售者销售的定量包装商品或者零售商品，其实际量与标注量或者实际量与贸易结算量不相符</w:t>
            </w:r>
          </w:p>
        </w:tc>
        <w:tc>
          <w:tcPr>
            <w:tcW w:w="5194" w:type="dxa"/>
            <w:vAlign w:val="center"/>
          </w:tcPr>
          <w:p w14:paraId="27D71ADC">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主动消除或者减轻违法行为危害后果；及时改正。</w:t>
            </w:r>
          </w:p>
        </w:tc>
        <w:tc>
          <w:tcPr>
            <w:tcW w:w="3987" w:type="dxa"/>
            <w:vAlign w:val="center"/>
          </w:tcPr>
          <w:p w14:paraId="1A523DEB">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5CBF13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46094AEA">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4</w:t>
            </w:r>
          </w:p>
        </w:tc>
        <w:tc>
          <w:tcPr>
            <w:tcW w:w="4249" w:type="dxa"/>
            <w:vAlign w:val="center"/>
          </w:tcPr>
          <w:p w14:paraId="2A9603B3">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认证机构聘用未经注册的人员从事认证活动</w:t>
            </w:r>
          </w:p>
        </w:tc>
        <w:tc>
          <w:tcPr>
            <w:tcW w:w="5194" w:type="dxa"/>
            <w:vAlign w:val="center"/>
          </w:tcPr>
          <w:p w14:paraId="4A8351E0">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违法行为持续时间较短的；检查后及时停止违法行为的；聘用未经认可机构注册的人员较少、从事认证活动较少的。</w:t>
            </w:r>
          </w:p>
        </w:tc>
        <w:tc>
          <w:tcPr>
            <w:tcW w:w="3987" w:type="dxa"/>
            <w:vAlign w:val="center"/>
          </w:tcPr>
          <w:p w14:paraId="5C78A1D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18741D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67357CB">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5</w:t>
            </w:r>
          </w:p>
        </w:tc>
        <w:tc>
          <w:tcPr>
            <w:tcW w:w="4249" w:type="dxa"/>
            <w:vAlign w:val="center"/>
          </w:tcPr>
          <w:p w14:paraId="7FF4DAAC">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检验机构和检验人员从事与其检验的列入目录产品相关的生产、销售活动</w:t>
            </w:r>
          </w:p>
        </w:tc>
        <w:tc>
          <w:tcPr>
            <w:tcW w:w="5194" w:type="dxa"/>
            <w:vAlign w:val="center"/>
          </w:tcPr>
          <w:p w14:paraId="6606F73D">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涉及的货值金额较小；及时改正。</w:t>
            </w:r>
          </w:p>
        </w:tc>
        <w:tc>
          <w:tcPr>
            <w:tcW w:w="3987" w:type="dxa"/>
            <w:vAlign w:val="center"/>
          </w:tcPr>
          <w:p w14:paraId="4658FABE">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0AA56B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45729585">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6</w:t>
            </w:r>
          </w:p>
        </w:tc>
        <w:tc>
          <w:tcPr>
            <w:tcW w:w="4249" w:type="dxa"/>
            <w:vAlign w:val="center"/>
          </w:tcPr>
          <w:p w14:paraId="12C290D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销售国家明令淘汰并停止销售的产品</w:t>
            </w:r>
          </w:p>
        </w:tc>
        <w:tc>
          <w:tcPr>
            <w:tcW w:w="5194" w:type="dxa"/>
            <w:vAlign w:val="center"/>
          </w:tcPr>
          <w:p w14:paraId="2F43A4EC">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有充分证据证明其不知道该产品为禁止销售的产品；销售者能够如实说明其进货来源和提供者；未造成危害后果及其他不良影响。</w:t>
            </w:r>
          </w:p>
        </w:tc>
        <w:tc>
          <w:tcPr>
            <w:tcW w:w="3987" w:type="dxa"/>
            <w:vAlign w:val="center"/>
          </w:tcPr>
          <w:p w14:paraId="5C5EF290">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p w14:paraId="48FABCF4">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p>
        </w:tc>
      </w:tr>
      <w:tr w14:paraId="60483F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08621B13">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7</w:t>
            </w:r>
          </w:p>
        </w:tc>
        <w:tc>
          <w:tcPr>
            <w:tcW w:w="4249" w:type="dxa"/>
            <w:vAlign w:val="center"/>
          </w:tcPr>
          <w:p w14:paraId="482289F4">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销售伪造产地，伪造或者冒用他人的厂名、厂址的产品</w:t>
            </w:r>
          </w:p>
        </w:tc>
        <w:tc>
          <w:tcPr>
            <w:tcW w:w="5194" w:type="dxa"/>
            <w:vAlign w:val="center"/>
          </w:tcPr>
          <w:p w14:paraId="3F479405">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未造成危害后果及其他不良影响；所涉货值金额较小；及时改正。</w:t>
            </w:r>
          </w:p>
        </w:tc>
        <w:tc>
          <w:tcPr>
            <w:tcW w:w="3987" w:type="dxa"/>
            <w:vAlign w:val="center"/>
          </w:tcPr>
          <w:p w14:paraId="3959DBB7">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6C6C17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5899FD1C">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8</w:t>
            </w:r>
          </w:p>
        </w:tc>
        <w:tc>
          <w:tcPr>
            <w:tcW w:w="4249" w:type="dxa"/>
            <w:vAlign w:val="center"/>
          </w:tcPr>
          <w:p w14:paraId="0D4CF407">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经营标签不符合规定的化妆品</w:t>
            </w:r>
          </w:p>
        </w:tc>
        <w:tc>
          <w:tcPr>
            <w:tcW w:w="5194" w:type="dxa"/>
            <w:vAlign w:val="center"/>
          </w:tcPr>
          <w:p w14:paraId="55ADC555">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能如实说明进货来源；未造成实际危害后果。</w:t>
            </w:r>
          </w:p>
        </w:tc>
        <w:tc>
          <w:tcPr>
            <w:tcW w:w="3987" w:type="dxa"/>
            <w:vAlign w:val="center"/>
          </w:tcPr>
          <w:p w14:paraId="34E012BF">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5FAEA9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5460005B">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9</w:t>
            </w:r>
          </w:p>
        </w:tc>
        <w:tc>
          <w:tcPr>
            <w:tcW w:w="4249" w:type="dxa"/>
            <w:vAlign w:val="center"/>
          </w:tcPr>
          <w:p w14:paraId="00D00EF6">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在标价之外加价出售商品，或者收取未予标明的费用</w:t>
            </w:r>
          </w:p>
        </w:tc>
        <w:tc>
          <w:tcPr>
            <w:tcW w:w="5194" w:type="dxa"/>
            <w:vAlign w:val="center"/>
          </w:tcPr>
          <w:p w14:paraId="65CCA5F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主动向消费者退还多收价款的；未造成不良社会影响。</w:t>
            </w:r>
          </w:p>
        </w:tc>
        <w:tc>
          <w:tcPr>
            <w:tcW w:w="3987" w:type="dxa"/>
            <w:vAlign w:val="center"/>
          </w:tcPr>
          <w:p w14:paraId="2868AB37">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bl>
    <w:p w14:paraId="1C2088D6">
      <w:pPr>
        <w:keepNext w:val="0"/>
        <w:keepLines w:val="0"/>
        <w:pageBreakBefore w:val="0"/>
        <w:kinsoku/>
        <w:wordWrap/>
        <w:overflowPunct/>
        <w:topLinePunct w:val="0"/>
        <w:bidi w:val="0"/>
        <w:spacing w:line="588" w:lineRule="exact"/>
        <w:jc w:val="both"/>
        <w:rPr>
          <w:rFonts w:ascii="方正小标宋简体" w:eastAsia="方正小标宋简体"/>
          <w:sz w:val="44"/>
          <w:szCs w:val="44"/>
        </w:rPr>
        <w:sectPr>
          <w:footerReference r:id="rId4" w:type="default"/>
          <w:pgSz w:w="16838" w:h="11906" w:orient="landscape"/>
          <w:pgMar w:top="1587" w:right="1984" w:bottom="1474" w:left="1984" w:header="851" w:footer="992" w:gutter="0"/>
          <w:pgNumType w:fmt="numberInDash"/>
          <w:cols w:space="0" w:num="1"/>
          <w:rtlGutter w:val="0"/>
          <w:docGrid w:type="lines" w:linePitch="315" w:charSpace="0"/>
        </w:sectPr>
      </w:pPr>
    </w:p>
    <w:tbl>
      <w:tblPr>
        <w:tblStyle w:val="11"/>
        <w:tblpPr w:leftFromText="180" w:rightFromText="180" w:vertAnchor="text" w:horzAnchor="margin" w:tblpX="-626" w:tblpY="181"/>
        <w:tblW w:w="1434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5"/>
        <w:gridCol w:w="4259"/>
        <w:gridCol w:w="5214"/>
        <w:gridCol w:w="3972"/>
      </w:tblGrid>
      <w:tr w14:paraId="087CC3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40" w:type="dxa"/>
            <w:gridSpan w:val="4"/>
          </w:tcPr>
          <w:p w14:paraId="54E248E9">
            <w:pPr>
              <w:keepNext w:val="0"/>
              <w:keepLines w:val="0"/>
              <w:pageBreakBefore w:val="0"/>
              <w:kinsoku/>
              <w:wordWrap/>
              <w:overflowPunct/>
              <w:topLinePunct w:val="0"/>
              <w:bidi w:val="0"/>
              <w:spacing w:line="588"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生态环境执法领域</w:t>
            </w:r>
          </w:p>
        </w:tc>
      </w:tr>
      <w:tr w14:paraId="134441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40" w:type="dxa"/>
            <w:gridSpan w:val="4"/>
          </w:tcPr>
          <w:p w14:paraId="6690E0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不予处罚清单</w:t>
            </w:r>
          </w:p>
        </w:tc>
      </w:tr>
      <w:tr w14:paraId="2E3B8E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tcPr>
          <w:p w14:paraId="14518D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sz w:val="28"/>
                <w:szCs w:val="28"/>
              </w:rPr>
            </w:pPr>
            <w:r>
              <w:rPr>
                <w:rFonts w:hint="eastAsia" w:ascii="黑体" w:hAnsi="黑体" w:eastAsia="黑体"/>
                <w:sz w:val="28"/>
                <w:szCs w:val="28"/>
              </w:rPr>
              <w:t>序号</w:t>
            </w:r>
          </w:p>
        </w:tc>
        <w:tc>
          <w:tcPr>
            <w:tcW w:w="4259" w:type="dxa"/>
          </w:tcPr>
          <w:p w14:paraId="512EFD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sz w:val="28"/>
                <w:szCs w:val="28"/>
              </w:rPr>
            </w:pPr>
            <w:r>
              <w:rPr>
                <w:rFonts w:hint="eastAsia" w:ascii="黑体" w:hAnsi="黑体" w:eastAsia="黑体"/>
                <w:sz w:val="28"/>
                <w:szCs w:val="28"/>
              </w:rPr>
              <w:t>处罚事项</w:t>
            </w:r>
          </w:p>
        </w:tc>
        <w:tc>
          <w:tcPr>
            <w:tcW w:w="5214" w:type="dxa"/>
          </w:tcPr>
          <w:p w14:paraId="7D434B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b/>
                <w:sz w:val="28"/>
                <w:szCs w:val="28"/>
              </w:rPr>
            </w:pPr>
            <w:r>
              <w:rPr>
                <w:rFonts w:ascii="黑体" w:hAnsi="黑体" w:eastAsia="黑体"/>
                <w:color w:val="000000"/>
                <w:sz w:val="28"/>
                <w:szCs w:val="28"/>
              </w:rPr>
              <w:t>不予处罚的情形</w:t>
            </w:r>
          </w:p>
        </w:tc>
        <w:tc>
          <w:tcPr>
            <w:tcW w:w="3972" w:type="dxa"/>
          </w:tcPr>
          <w:p w14:paraId="7D7269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sz w:val="28"/>
                <w:szCs w:val="28"/>
              </w:rPr>
            </w:pPr>
            <w:r>
              <w:rPr>
                <w:rFonts w:ascii="黑体" w:hAnsi="黑体" w:eastAsia="黑体"/>
                <w:color w:val="000000"/>
                <w:sz w:val="28"/>
                <w:szCs w:val="28"/>
              </w:rPr>
              <w:t>不予处罚的依据</w:t>
            </w:r>
          </w:p>
        </w:tc>
      </w:tr>
      <w:tr w14:paraId="196DE4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2459EC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4259" w:type="dxa"/>
            <w:vAlign w:val="center"/>
          </w:tcPr>
          <w:p w14:paraId="346BEA7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建设项目应当编制环境影响报告表的,未报批或未重新报批建设项目环境影响评价文件</w:t>
            </w:r>
          </w:p>
        </w:tc>
        <w:tc>
          <w:tcPr>
            <w:tcW w:w="5214" w:type="dxa"/>
            <w:vAlign w:val="center"/>
          </w:tcPr>
          <w:p w14:paraId="1999AB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处于建设阶段,责令停止建设后及时停止建设的</w:t>
            </w:r>
          </w:p>
        </w:tc>
        <w:tc>
          <w:tcPr>
            <w:tcW w:w="3972" w:type="dxa"/>
            <w:vAlign w:val="center"/>
          </w:tcPr>
          <w:p w14:paraId="4E0694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《天津市生态环境行政处罚裁量基准》第七条第（一）项</w:t>
            </w:r>
          </w:p>
        </w:tc>
      </w:tr>
      <w:tr w14:paraId="236FF9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3B6E4B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4259" w:type="dxa"/>
            <w:vAlign w:val="center"/>
          </w:tcPr>
          <w:p w14:paraId="4C981A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建设项目未依法备案环境影响登记表</w:t>
            </w:r>
          </w:p>
        </w:tc>
        <w:tc>
          <w:tcPr>
            <w:tcW w:w="5214" w:type="dxa"/>
            <w:vAlign w:val="center"/>
          </w:tcPr>
          <w:p w14:paraId="09D7B7F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责令改正后于5个工作日内依法完成备案的</w:t>
            </w:r>
          </w:p>
        </w:tc>
        <w:tc>
          <w:tcPr>
            <w:tcW w:w="3972" w:type="dxa"/>
            <w:vAlign w:val="center"/>
          </w:tcPr>
          <w:p w14:paraId="7B7BAE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《天津市生态环境行政处罚裁量基准》第七条第（二）项</w:t>
            </w:r>
          </w:p>
        </w:tc>
      </w:tr>
      <w:tr w14:paraId="35EB05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1AC3EC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4259" w:type="dxa"/>
            <w:vAlign w:val="center"/>
          </w:tcPr>
          <w:p w14:paraId="6A6986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建设项目配套建设的环境保护设施未经验收或验收不合格即投入生产或者使用</w:t>
            </w:r>
          </w:p>
        </w:tc>
        <w:tc>
          <w:tcPr>
            <w:tcW w:w="5214" w:type="dxa"/>
            <w:vAlign w:val="center"/>
          </w:tcPr>
          <w:p w14:paraId="7C26D2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该建设项目建设时期直接负责的主管人员和其他责任人员已离职、退休或由于其他原因不负责该项工作，现直接负责的主管人员和其他责任人员能够主动停止生产或者使用，并积极推进验收工作的，对个人不予行政处罚</w:t>
            </w:r>
          </w:p>
        </w:tc>
        <w:tc>
          <w:tcPr>
            <w:tcW w:w="3972" w:type="dxa"/>
            <w:vAlign w:val="center"/>
          </w:tcPr>
          <w:p w14:paraId="18AE1F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《天津市生态环境行政处罚裁量基准》第七条第（三）项</w:t>
            </w:r>
          </w:p>
        </w:tc>
      </w:tr>
      <w:tr w14:paraId="2B90B7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16C380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4</w:t>
            </w:r>
          </w:p>
        </w:tc>
        <w:tc>
          <w:tcPr>
            <w:tcW w:w="4259" w:type="dxa"/>
            <w:vAlign w:val="center"/>
          </w:tcPr>
          <w:p w14:paraId="677DDF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排放水污染物超过国家或地方规定的水污染物排放标准</w:t>
            </w:r>
          </w:p>
        </w:tc>
        <w:tc>
          <w:tcPr>
            <w:tcW w:w="5214" w:type="dxa"/>
            <w:vAlign w:val="center"/>
          </w:tcPr>
          <w:p w14:paraId="69DD02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水污染物单因子超标倍数在0.1倍（含）以下，责令改正后经复查监测达标排放的</w:t>
            </w:r>
          </w:p>
        </w:tc>
        <w:tc>
          <w:tcPr>
            <w:tcW w:w="3972" w:type="dxa"/>
            <w:vAlign w:val="center"/>
          </w:tcPr>
          <w:p w14:paraId="5EAC72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《天津市生态环境行政处罚裁量基准》第七条第（四）项</w:t>
            </w:r>
          </w:p>
        </w:tc>
      </w:tr>
      <w:tr w14:paraId="22CC0A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6ED291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4259" w:type="dxa"/>
            <w:vAlign w:val="center"/>
          </w:tcPr>
          <w:p w14:paraId="00AD06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水污染物排放自动监测设备日均值数据超标</w:t>
            </w:r>
          </w:p>
        </w:tc>
        <w:tc>
          <w:tcPr>
            <w:tcW w:w="5214" w:type="dxa"/>
            <w:vAlign w:val="center"/>
          </w:tcPr>
          <w:p w14:paraId="438C35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超标倍数在0.1倍（含）以下，且自首次超标后持续时间不超过24小时（含），责令改正后经复查监测达标排放的</w:t>
            </w:r>
          </w:p>
        </w:tc>
        <w:tc>
          <w:tcPr>
            <w:tcW w:w="3972" w:type="dxa"/>
            <w:vAlign w:val="center"/>
          </w:tcPr>
          <w:p w14:paraId="795E01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《天津市生态环境行政处罚裁量基准》第七条第（五）项</w:t>
            </w:r>
          </w:p>
        </w:tc>
      </w:tr>
      <w:tr w14:paraId="372E14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108B3E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6</w:t>
            </w:r>
          </w:p>
        </w:tc>
        <w:tc>
          <w:tcPr>
            <w:tcW w:w="4259" w:type="dxa"/>
            <w:vAlign w:val="center"/>
          </w:tcPr>
          <w:p w14:paraId="343BE8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排放大气污染物浓度超过国家或地方标准</w:t>
            </w:r>
          </w:p>
        </w:tc>
        <w:tc>
          <w:tcPr>
            <w:tcW w:w="5214" w:type="dxa"/>
            <w:vAlign w:val="center"/>
          </w:tcPr>
          <w:p w14:paraId="2856CF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相关主要污染物单因子浓度超标倍数在0.1倍（含）以下，责令改正后经复查监测达标排放的</w:t>
            </w:r>
          </w:p>
        </w:tc>
        <w:tc>
          <w:tcPr>
            <w:tcW w:w="3972" w:type="dxa"/>
            <w:vAlign w:val="center"/>
          </w:tcPr>
          <w:p w14:paraId="6D900E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《天津市生态环境行政处罚裁量基准》第七条第（六）项</w:t>
            </w:r>
          </w:p>
        </w:tc>
      </w:tr>
      <w:tr w14:paraId="7B2DC8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2DC1EC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7</w:t>
            </w:r>
          </w:p>
        </w:tc>
        <w:tc>
          <w:tcPr>
            <w:tcW w:w="4259" w:type="dxa"/>
            <w:vAlign w:val="center"/>
          </w:tcPr>
          <w:p w14:paraId="6C8A74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贮存不能密闭的易产生扬尘的物料，未设置不低于堆放物高度的严密围挡，或者未采取有效覆盖措施防治扬尘污染</w:t>
            </w:r>
          </w:p>
        </w:tc>
        <w:tc>
          <w:tcPr>
            <w:tcW w:w="5214" w:type="dxa"/>
            <w:vAlign w:val="center"/>
          </w:tcPr>
          <w:p w14:paraId="01E941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物料占地面积不多于50m</w:t>
            </w:r>
            <w:r>
              <w:rPr>
                <w:rFonts w:asciiTheme="minorEastAsia" w:hAnsiTheme="minorEastAsia"/>
                <w:sz w:val="24"/>
                <w:szCs w:val="24"/>
                <w:vertAlign w:val="superscript"/>
              </w:rPr>
              <w:t>2</w:t>
            </w:r>
            <w:r>
              <w:rPr>
                <w:rFonts w:asciiTheme="minorEastAsia" w:hAnsiTheme="minorEastAsia"/>
                <w:sz w:val="24"/>
                <w:szCs w:val="24"/>
              </w:rPr>
              <w:t>（含）</w:t>
            </w:r>
            <w:r>
              <w:rPr>
                <w:rFonts w:hint="eastAsia" w:asciiTheme="minorEastAsia" w:hAnsiTheme="minorEastAsia"/>
                <w:sz w:val="24"/>
                <w:szCs w:val="24"/>
              </w:rPr>
              <w:t>，</w:t>
            </w:r>
            <w:r>
              <w:rPr>
                <w:rFonts w:asciiTheme="minorEastAsia" w:hAnsiTheme="minorEastAsia"/>
                <w:sz w:val="24"/>
                <w:szCs w:val="24"/>
              </w:rPr>
              <w:t>责令改正后1个工作日内完成整改的</w:t>
            </w:r>
          </w:p>
        </w:tc>
        <w:tc>
          <w:tcPr>
            <w:tcW w:w="3972" w:type="dxa"/>
            <w:vAlign w:val="center"/>
          </w:tcPr>
          <w:p w14:paraId="6C5699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《天津市生态环境行政处罚裁量基准》第七条第（七）项</w:t>
            </w:r>
          </w:p>
        </w:tc>
      </w:tr>
      <w:tr w14:paraId="1959F6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71063C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8</w:t>
            </w:r>
          </w:p>
        </w:tc>
        <w:tc>
          <w:tcPr>
            <w:tcW w:w="4259" w:type="dxa"/>
            <w:vAlign w:val="center"/>
          </w:tcPr>
          <w:p w14:paraId="1B4C13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超过噪声排放标准排放工业噪声</w:t>
            </w:r>
          </w:p>
        </w:tc>
        <w:tc>
          <w:tcPr>
            <w:tcW w:w="5214" w:type="dxa"/>
            <w:vAlign w:val="center"/>
          </w:tcPr>
          <w:p w14:paraId="02322F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超过限值的幅度在5分贝（含）以内，责令改正后经复查监测达标的</w:t>
            </w:r>
          </w:p>
        </w:tc>
        <w:tc>
          <w:tcPr>
            <w:tcW w:w="3972" w:type="dxa"/>
            <w:vAlign w:val="center"/>
          </w:tcPr>
          <w:p w14:paraId="484731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《天津市生态环境行政处罚裁量基准》第七条第（八）项</w:t>
            </w:r>
          </w:p>
        </w:tc>
      </w:tr>
      <w:tr w14:paraId="1B6BB0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6495AA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9</w:t>
            </w:r>
          </w:p>
        </w:tc>
        <w:tc>
          <w:tcPr>
            <w:tcW w:w="4259" w:type="dxa"/>
            <w:vAlign w:val="center"/>
          </w:tcPr>
          <w:p w14:paraId="262F9F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污染物排放口数量与排污许可证规定不相符的</w:t>
            </w:r>
          </w:p>
        </w:tc>
        <w:tc>
          <w:tcPr>
            <w:tcW w:w="5214" w:type="dxa"/>
            <w:vAlign w:val="center"/>
          </w:tcPr>
          <w:p w14:paraId="770CB4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排污单位因停产减产、科研创新、产业升级改造等原因，减少污染物排放口数量，未增加污染物排放种类、排放量、排放浓度且经调查未发现该单位偷排偷放的</w:t>
            </w:r>
          </w:p>
        </w:tc>
        <w:tc>
          <w:tcPr>
            <w:tcW w:w="3972" w:type="dxa"/>
            <w:vAlign w:val="center"/>
          </w:tcPr>
          <w:p w14:paraId="2DA3F6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《天津市生态环境行政处罚裁量基准》第七条第（九）项</w:t>
            </w:r>
          </w:p>
        </w:tc>
      </w:tr>
      <w:tr w14:paraId="254DB1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603F49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w:t>
            </w:r>
          </w:p>
        </w:tc>
        <w:tc>
          <w:tcPr>
            <w:tcW w:w="4259" w:type="dxa"/>
            <w:vAlign w:val="center"/>
          </w:tcPr>
          <w:p w14:paraId="2F879D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危险废物产生单位未能如实记录危险废物管理台账</w:t>
            </w:r>
          </w:p>
        </w:tc>
        <w:tc>
          <w:tcPr>
            <w:tcW w:w="5214" w:type="dxa"/>
            <w:vAlign w:val="center"/>
          </w:tcPr>
          <w:p w14:paraId="404A82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经调查未发现其他违法行为，责令改正后及时改正的</w:t>
            </w:r>
          </w:p>
        </w:tc>
        <w:tc>
          <w:tcPr>
            <w:tcW w:w="3972" w:type="dxa"/>
            <w:vAlign w:val="center"/>
          </w:tcPr>
          <w:p w14:paraId="624A9D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《天津市生态环境行政处罚裁量基准》第七条第（十）项</w:t>
            </w:r>
          </w:p>
        </w:tc>
      </w:tr>
      <w:tr w14:paraId="52B697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346DBB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p>
        </w:tc>
        <w:tc>
          <w:tcPr>
            <w:tcW w:w="4259" w:type="dxa"/>
            <w:vAlign w:val="center"/>
          </w:tcPr>
          <w:p w14:paraId="176577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从事含消耗臭氧层物质的制冷设备、制冷系统或者灭火系统的维修、报废处理等经营活动的单位以及专门从事消耗臭氧层物质回收、再生利用或者销毁等经营活动的单位未按规定向环境保护主管部门备案</w:t>
            </w:r>
          </w:p>
        </w:tc>
        <w:tc>
          <w:tcPr>
            <w:tcW w:w="5214" w:type="dxa"/>
            <w:vAlign w:val="center"/>
          </w:tcPr>
          <w:p w14:paraId="0B767C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责令改正后及时改正的</w:t>
            </w:r>
          </w:p>
        </w:tc>
        <w:tc>
          <w:tcPr>
            <w:tcW w:w="3972" w:type="dxa"/>
            <w:vAlign w:val="center"/>
          </w:tcPr>
          <w:p w14:paraId="4C3312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《天津市生态环境行政处罚裁量基准》第七条第（十一）项</w:t>
            </w:r>
          </w:p>
        </w:tc>
      </w:tr>
      <w:tr w14:paraId="6086C8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0419A5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w:t>
            </w:r>
          </w:p>
        </w:tc>
        <w:tc>
          <w:tcPr>
            <w:tcW w:w="4259" w:type="dxa"/>
            <w:vAlign w:val="center"/>
          </w:tcPr>
          <w:p w14:paraId="1FBA31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产生含挥发性有机物废气的生产和服务活动, 未在密闭空间或者设备中进行，或者未按照规定安装、使用污染防治设施</w:t>
            </w:r>
          </w:p>
        </w:tc>
        <w:tc>
          <w:tcPr>
            <w:tcW w:w="5214" w:type="dxa"/>
            <w:vAlign w:val="center"/>
          </w:tcPr>
          <w:p w14:paraId="5F6044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挥发性有机物废气年产生量低于0.01吨（含），初次发现且当场立即改正的；污染防治设施中仅部分工序未开启，其他主要治污工序仍正常运转，责令改正后3个工作日内改正的；未在密闭空间或者设备中进行，初次发现，当场立即改正的</w:t>
            </w:r>
          </w:p>
        </w:tc>
        <w:tc>
          <w:tcPr>
            <w:tcW w:w="3972" w:type="dxa"/>
            <w:vAlign w:val="center"/>
          </w:tcPr>
          <w:p w14:paraId="247883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《天津市生态环境行政处罚裁量基准》第八条第（一）项</w:t>
            </w:r>
          </w:p>
        </w:tc>
      </w:tr>
      <w:tr w14:paraId="369E23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5307D6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3</w:t>
            </w:r>
          </w:p>
        </w:tc>
        <w:tc>
          <w:tcPr>
            <w:tcW w:w="4259" w:type="dxa"/>
            <w:vAlign w:val="center"/>
          </w:tcPr>
          <w:p w14:paraId="4BC539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不正常使用大气污染防治设施</w:t>
            </w:r>
          </w:p>
        </w:tc>
        <w:tc>
          <w:tcPr>
            <w:tcW w:w="5214" w:type="dxa"/>
            <w:vAlign w:val="center"/>
          </w:tcPr>
          <w:p w14:paraId="50C2F6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初次发现且正在使用的焊机或其他产生烟尘、粉尘物质的加工点位不超过2个（含），当场立即改正的</w:t>
            </w:r>
          </w:p>
        </w:tc>
        <w:tc>
          <w:tcPr>
            <w:tcW w:w="3972" w:type="dxa"/>
            <w:vAlign w:val="center"/>
          </w:tcPr>
          <w:p w14:paraId="6B9A94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《天津市生态环境行政处罚裁量基准》第八条第（二）项</w:t>
            </w:r>
          </w:p>
        </w:tc>
      </w:tr>
      <w:tr w14:paraId="58B438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2751D4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14</w:t>
            </w:r>
          </w:p>
        </w:tc>
        <w:tc>
          <w:tcPr>
            <w:tcW w:w="4259" w:type="dxa"/>
            <w:vAlign w:val="center"/>
          </w:tcPr>
          <w:p w14:paraId="3B485C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未按规定和监测规范设置监测点位</w:t>
            </w:r>
          </w:p>
        </w:tc>
        <w:tc>
          <w:tcPr>
            <w:tcW w:w="5214" w:type="dxa"/>
            <w:vAlign w:val="center"/>
          </w:tcPr>
          <w:p w14:paraId="2411B3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初次发现，责令改正后及时改正的</w:t>
            </w:r>
          </w:p>
        </w:tc>
        <w:tc>
          <w:tcPr>
            <w:tcW w:w="3972" w:type="dxa"/>
            <w:vAlign w:val="center"/>
          </w:tcPr>
          <w:p w14:paraId="4297DC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《天津市生态环境行政处罚裁量基准》第八条第（三）项</w:t>
            </w:r>
          </w:p>
        </w:tc>
      </w:tr>
      <w:tr w14:paraId="7B8471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3B07D8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5</w:t>
            </w:r>
          </w:p>
        </w:tc>
        <w:tc>
          <w:tcPr>
            <w:tcW w:w="4259" w:type="dxa"/>
            <w:vAlign w:val="center"/>
          </w:tcPr>
          <w:p w14:paraId="51EC0D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排污单位未按照规定保存污染物原始监测记录</w:t>
            </w:r>
          </w:p>
        </w:tc>
        <w:tc>
          <w:tcPr>
            <w:tcW w:w="5214" w:type="dxa"/>
            <w:vAlign w:val="center"/>
          </w:tcPr>
          <w:p w14:paraId="47B7EB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初次发现，责令改正后及时改正的</w:t>
            </w:r>
          </w:p>
        </w:tc>
        <w:tc>
          <w:tcPr>
            <w:tcW w:w="3972" w:type="dxa"/>
            <w:vAlign w:val="center"/>
          </w:tcPr>
          <w:p w14:paraId="42BBB9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《天津市生态环境行政处罚裁量基准》第八条第（四）项</w:t>
            </w:r>
          </w:p>
        </w:tc>
      </w:tr>
      <w:tr w14:paraId="7EA900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79F702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6</w:t>
            </w:r>
          </w:p>
        </w:tc>
        <w:tc>
          <w:tcPr>
            <w:tcW w:w="4259" w:type="dxa"/>
            <w:vAlign w:val="center"/>
          </w:tcPr>
          <w:p w14:paraId="356941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排污单位环境管理台账记录数据不全</w:t>
            </w:r>
          </w:p>
        </w:tc>
        <w:tc>
          <w:tcPr>
            <w:tcW w:w="5214" w:type="dxa"/>
            <w:vAlign w:val="center"/>
          </w:tcPr>
          <w:p w14:paraId="4D95D9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初次发现，责令改正后3个工作日内改正的</w:t>
            </w:r>
          </w:p>
        </w:tc>
        <w:tc>
          <w:tcPr>
            <w:tcW w:w="3972" w:type="dxa"/>
            <w:vAlign w:val="center"/>
          </w:tcPr>
          <w:p w14:paraId="185EF0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《天津市生态环境行政处罚裁量基准》第八条第（五）项</w:t>
            </w:r>
          </w:p>
        </w:tc>
      </w:tr>
      <w:tr w14:paraId="51BBBA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3AC5CC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7</w:t>
            </w:r>
          </w:p>
        </w:tc>
        <w:tc>
          <w:tcPr>
            <w:tcW w:w="4259" w:type="dxa"/>
            <w:vAlign w:val="center"/>
          </w:tcPr>
          <w:p w14:paraId="7EF90F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排污单位未按规定提交排污许可执行报告</w:t>
            </w:r>
          </w:p>
        </w:tc>
        <w:tc>
          <w:tcPr>
            <w:tcW w:w="5214" w:type="dxa"/>
            <w:vAlign w:val="center"/>
          </w:tcPr>
          <w:p w14:paraId="073CDD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初次发现，责令改正后3个工作日内改正的</w:t>
            </w:r>
          </w:p>
        </w:tc>
        <w:tc>
          <w:tcPr>
            <w:tcW w:w="3972" w:type="dxa"/>
            <w:vAlign w:val="center"/>
          </w:tcPr>
          <w:p w14:paraId="2C1F7D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《天津市生态环境行政处罚裁量基准》第八条第（六）项</w:t>
            </w:r>
          </w:p>
        </w:tc>
      </w:tr>
      <w:tr w14:paraId="44D5BA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175E95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8</w:t>
            </w:r>
          </w:p>
        </w:tc>
        <w:tc>
          <w:tcPr>
            <w:tcW w:w="4259" w:type="dxa"/>
            <w:vAlign w:val="center"/>
          </w:tcPr>
          <w:p w14:paraId="1F29D1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排污单位未按规定公开污染物排放信息</w:t>
            </w:r>
          </w:p>
        </w:tc>
        <w:tc>
          <w:tcPr>
            <w:tcW w:w="5214" w:type="dxa"/>
            <w:vAlign w:val="center"/>
          </w:tcPr>
          <w:p w14:paraId="213B30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初次发现，责令改正后及时改正的</w:t>
            </w:r>
          </w:p>
        </w:tc>
        <w:tc>
          <w:tcPr>
            <w:tcW w:w="3972" w:type="dxa"/>
            <w:vAlign w:val="center"/>
          </w:tcPr>
          <w:p w14:paraId="7AA074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《天津市生态环境行政处罚裁量基准》第八条第（七）项</w:t>
            </w:r>
          </w:p>
        </w:tc>
      </w:tr>
      <w:tr w14:paraId="6D5400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06DB54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9</w:t>
            </w:r>
          </w:p>
        </w:tc>
        <w:tc>
          <w:tcPr>
            <w:tcW w:w="4259" w:type="dxa"/>
            <w:vAlign w:val="center"/>
          </w:tcPr>
          <w:p w14:paraId="1283D61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排污单位未依法填报排污许可登记表</w:t>
            </w:r>
          </w:p>
        </w:tc>
        <w:tc>
          <w:tcPr>
            <w:tcW w:w="5214" w:type="dxa"/>
            <w:vAlign w:val="center"/>
          </w:tcPr>
          <w:p w14:paraId="7699AB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初次发现，责令改正后3个工作日内改正的</w:t>
            </w:r>
          </w:p>
        </w:tc>
        <w:tc>
          <w:tcPr>
            <w:tcW w:w="3972" w:type="dxa"/>
            <w:vAlign w:val="center"/>
          </w:tcPr>
          <w:p w14:paraId="11FDBA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《天津市生态环境行政处罚裁量基准》第八条第（八）项</w:t>
            </w:r>
          </w:p>
        </w:tc>
      </w:tr>
      <w:tr w14:paraId="4B3B85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6A5E35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20</w:t>
            </w:r>
          </w:p>
        </w:tc>
        <w:tc>
          <w:tcPr>
            <w:tcW w:w="4259" w:type="dxa"/>
            <w:vAlign w:val="center"/>
          </w:tcPr>
          <w:p w14:paraId="0346FB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产生工业固体废物的单位工业固体废物管理台账记载内容不完整</w:t>
            </w:r>
          </w:p>
        </w:tc>
        <w:tc>
          <w:tcPr>
            <w:tcW w:w="5214" w:type="dxa"/>
            <w:vAlign w:val="center"/>
          </w:tcPr>
          <w:p w14:paraId="2A51CA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初次发现，责令改正后及时改正的</w:t>
            </w:r>
          </w:p>
        </w:tc>
        <w:tc>
          <w:tcPr>
            <w:tcW w:w="3972" w:type="dxa"/>
            <w:vAlign w:val="center"/>
          </w:tcPr>
          <w:p w14:paraId="3AA79A2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《天津市生态环境行政处罚裁量基准》第八条第（十一）项</w:t>
            </w:r>
          </w:p>
        </w:tc>
      </w:tr>
      <w:tr w14:paraId="38A4C0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5BB87E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1</w:t>
            </w:r>
          </w:p>
        </w:tc>
        <w:tc>
          <w:tcPr>
            <w:tcW w:w="4259" w:type="dxa"/>
            <w:vAlign w:val="center"/>
          </w:tcPr>
          <w:p w14:paraId="40527B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贮存工业固体废物未采取符合国家环境保护标准的防护措施</w:t>
            </w:r>
          </w:p>
        </w:tc>
        <w:tc>
          <w:tcPr>
            <w:tcW w:w="5214" w:type="dxa"/>
            <w:vAlign w:val="center"/>
          </w:tcPr>
          <w:p w14:paraId="6DA794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贮存工业固体废物0.02吨（含）以下，初次发现，责令改正后3个工作日内及时改正的</w:t>
            </w:r>
          </w:p>
        </w:tc>
        <w:tc>
          <w:tcPr>
            <w:tcW w:w="3972" w:type="dxa"/>
            <w:vAlign w:val="center"/>
          </w:tcPr>
          <w:p w14:paraId="69F819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《天津市生态环境行政处罚裁量基准》第八条第（十二）项</w:t>
            </w:r>
          </w:p>
        </w:tc>
      </w:tr>
      <w:tr w14:paraId="1F88CC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5115AA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2</w:t>
            </w:r>
          </w:p>
        </w:tc>
        <w:tc>
          <w:tcPr>
            <w:tcW w:w="4259" w:type="dxa"/>
            <w:vAlign w:val="center"/>
          </w:tcPr>
          <w:p w14:paraId="6BBDFD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在厂区范围内未按照国家环境保护标准贮存危险废物或将危险废物混入非危险废物中贮存</w:t>
            </w:r>
          </w:p>
        </w:tc>
        <w:tc>
          <w:tcPr>
            <w:tcW w:w="5214" w:type="dxa"/>
            <w:vAlign w:val="center"/>
          </w:tcPr>
          <w:p w14:paraId="781952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涉案危险废物0.01吨（含）以下，未导致危险废物扬散、流失、渗漏等其他污染环境的后果，初次发现，责令改正后3个工作日内改正的</w:t>
            </w:r>
          </w:p>
        </w:tc>
        <w:tc>
          <w:tcPr>
            <w:tcW w:w="3972" w:type="dxa"/>
            <w:vAlign w:val="center"/>
          </w:tcPr>
          <w:p w14:paraId="3264A8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《天津市生态环境行政处罚裁量基准》第八条第（十三）项</w:t>
            </w:r>
          </w:p>
        </w:tc>
      </w:tr>
      <w:tr w14:paraId="13E18D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24A5D8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3</w:t>
            </w:r>
          </w:p>
        </w:tc>
        <w:tc>
          <w:tcPr>
            <w:tcW w:w="4259" w:type="dxa"/>
            <w:vAlign w:val="center"/>
          </w:tcPr>
          <w:p w14:paraId="026A26A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企业不符合准则要求或超过规定时限披露环境信息或未上传至企业环境信息依法披露系统</w:t>
            </w:r>
          </w:p>
        </w:tc>
        <w:tc>
          <w:tcPr>
            <w:tcW w:w="5214" w:type="dxa"/>
            <w:vAlign w:val="center"/>
          </w:tcPr>
          <w:p w14:paraId="4200AD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初次发现，责令改正后及时改正的</w:t>
            </w:r>
          </w:p>
        </w:tc>
        <w:tc>
          <w:tcPr>
            <w:tcW w:w="3972" w:type="dxa"/>
            <w:vAlign w:val="center"/>
          </w:tcPr>
          <w:p w14:paraId="1CD522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《天津市生态环境行政处罚裁量基准》第八条第（十四）项</w:t>
            </w:r>
          </w:p>
        </w:tc>
      </w:tr>
      <w:tr w14:paraId="4670A9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7CD66D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24</w:t>
            </w:r>
          </w:p>
        </w:tc>
        <w:tc>
          <w:tcPr>
            <w:tcW w:w="4259" w:type="dxa"/>
            <w:vAlign w:val="center"/>
          </w:tcPr>
          <w:p w14:paraId="26689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未对从业人员定期进行突发环境事件应急知识和技能培训</w:t>
            </w:r>
          </w:p>
        </w:tc>
        <w:tc>
          <w:tcPr>
            <w:tcW w:w="5214" w:type="dxa"/>
            <w:vAlign w:val="center"/>
          </w:tcPr>
          <w:p w14:paraId="64013A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首次发现，3 年内未发生突发环境事件的企业，未按规定开展突发环境事件应急培训的，责令改正后及时改正，没有造成危害后果的</w:t>
            </w:r>
          </w:p>
        </w:tc>
        <w:tc>
          <w:tcPr>
            <w:tcW w:w="3972" w:type="dxa"/>
            <w:vAlign w:val="center"/>
          </w:tcPr>
          <w:p w14:paraId="1E15FB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《滨海新区轻微违法行为不予处罚清单、一般违法行为从轻行政处罚清单、初创企业行政指导清单》生态环境领域25</w:t>
            </w:r>
          </w:p>
        </w:tc>
      </w:tr>
      <w:tr w14:paraId="26EDCE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360802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25</w:t>
            </w:r>
          </w:p>
        </w:tc>
        <w:tc>
          <w:tcPr>
            <w:tcW w:w="4259" w:type="dxa"/>
            <w:vAlign w:val="center"/>
          </w:tcPr>
          <w:p w14:paraId="1DE822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企业事业单位未按照相关法律法规和标准规范的要求，开展突发环境事件风险评估；</w:t>
            </w:r>
          </w:p>
        </w:tc>
        <w:tc>
          <w:tcPr>
            <w:tcW w:w="5214" w:type="dxa"/>
            <w:vAlign w:val="center"/>
          </w:tcPr>
          <w:p w14:paraId="1EC07E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首次发现，3 年内未发生突发环境事件的企业，未按规定开展突发环境事件的风险评估、环境安全隐患排查治理、应急预案备案、演练的，责令改正后及时改正，没有造成危害后果的</w:t>
            </w:r>
          </w:p>
        </w:tc>
        <w:tc>
          <w:tcPr>
            <w:tcW w:w="3972" w:type="dxa"/>
            <w:vAlign w:val="center"/>
          </w:tcPr>
          <w:p w14:paraId="7F9FF3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《滨海新区轻微违法行为不予处罚清单、一般违法行为从轻行政处罚清单、初创企业行政指导清单》生态环境领域26</w:t>
            </w:r>
          </w:p>
        </w:tc>
      </w:tr>
      <w:tr w14:paraId="01D9E7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222000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26</w:t>
            </w:r>
          </w:p>
        </w:tc>
        <w:tc>
          <w:tcPr>
            <w:tcW w:w="4259" w:type="dxa"/>
            <w:vAlign w:val="center"/>
          </w:tcPr>
          <w:p w14:paraId="7FDD55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企业事业单位未储备必要的环境应急装备和物资，未建立完善相关管理制度</w:t>
            </w:r>
          </w:p>
        </w:tc>
        <w:tc>
          <w:tcPr>
            <w:tcW w:w="5214" w:type="dxa"/>
            <w:vAlign w:val="center"/>
          </w:tcPr>
          <w:p w14:paraId="50DD98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首次发现，3 年内未发生突发环境事件的企业，未按规定储备必要的环境应急装备和物资，责令改正后及时改正，没有造成危害后果的</w:t>
            </w:r>
          </w:p>
        </w:tc>
        <w:tc>
          <w:tcPr>
            <w:tcW w:w="3972" w:type="dxa"/>
            <w:vAlign w:val="center"/>
          </w:tcPr>
          <w:p w14:paraId="40A228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《滨海新区轻微违法行为不予处罚清单、一般违法行为从轻行政处罚清单、初创企业行政指导清单》生态环境领域27</w:t>
            </w:r>
          </w:p>
        </w:tc>
      </w:tr>
      <w:tr w14:paraId="3E3951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064305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27</w:t>
            </w:r>
          </w:p>
        </w:tc>
        <w:tc>
          <w:tcPr>
            <w:tcW w:w="4259" w:type="dxa"/>
            <w:vAlign w:val="center"/>
          </w:tcPr>
          <w:p w14:paraId="3513C4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采取便于公众知晓和查询的方式公开本单位环境风险防范工作开展情况、突发环境事件应急预案及演练情况、突发环境事件发生及处置情况，以及落实整改要求情况等环境信息</w:t>
            </w:r>
          </w:p>
        </w:tc>
        <w:tc>
          <w:tcPr>
            <w:tcW w:w="5214" w:type="dxa"/>
            <w:vAlign w:val="center"/>
          </w:tcPr>
          <w:p w14:paraId="41F44F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首次发现，3 年内未发生突发环境事件的企业，未按规定公开突发环境事件相关信息的，责令改正后及时改正，没有造成危害后果的</w:t>
            </w:r>
          </w:p>
        </w:tc>
        <w:tc>
          <w:tcPr>
            <w:tcW w:w="3972" w:type="dxa"/>
            <w:vAlign w:val="center"/>
          </w:tcPr>
          <w:p w14:paraId="7E37F1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《滨海新区轻微违法行为不予处罚清单、一般违法行为从轻行政处罚清单、初创企业行政指导清单》生态环境领域28</w:t>
            </w:r>
          </w:p>
        </w:tc>
      </w:tr>
    </w:tbl>
    <w:p w14:paraId="4B2C397C">
      <w:pPr>
        <w:keepNext w:val="0"/>
        <w:keepLines w:val="0"/>
        <w:pageBreakBefore w:val="0"/>
        <w:kinsoku/>
        <w:wordWrap/>
        <w:overflowPunct/>
        <w:topLinePunct w:val="0"/>
        <w:bidi w:val="0"/>
        <w:spacing w:line="588" w:lineRule="exact"/>
        <w:jc w:val="center"/>
        <w:rPr>
          <w:rFonts w:hint="eastAsia" w:ascii="方正小标宋简体" w:hAnsi="黑体" w:eastAsia="方正小标宋简体"/>
          <w:color w:val="000000"/>
          <w:sz w:val="44"/>
          <w:szCs w:val="44"/>
        </w:rPr>
        <w:sectPr>
          <w:pgSz w:w="16838" w:h="11906" w:orient="landscape"/>
          <w:pgMar w:top="1587" w:right="1984" w:bottom="1474" w:left="1984" w:header="851" w:footer="992" w:gutter="0"/>
          <w:pgNumType w:fmt="numberInDash"/>
          <w:cols w:space="0" w:num="1"/>
          <w:rtlGutter w:val="0"/>
          <w:docGrid w:type="lines" w:linePitch="315" w:charSpace="0"/>
        </w:sectPr>
      </w:pPr>
    </w:p>
    <w:tbl>
      <w:tblPr>
        <w:tblStyle w:val="11"/>
        <w:tblpPr w:leftFromText="180" w:rightFromText="180" w:vertAnchor="text" w:horzAnchor="page" w:tblpX="1363" w:tblpY="701"/>
        <w:tblW w:w="1434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5"/>
        <w:gridCol w:w="4274"/>
        <w:gridCol w:w="5184"/>
        <w:gridCol w:w="3987"/>
      </w:tblGrid>
      <w:tr w14:paraId="22B231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40" w:type="dxa"/>
            <w:gridSpan w:val="4"/>
          </w:tcPr>
          <w:p w14:paraId="3272A0CF">
            <w:pPr>
              <w:keepNext w:val="0"/>
              <w:keepLines w:val="0"/>
              <w:pageBreakBefore w:val="0"/>
              <w:kinsoku/>
              <w:wordWrap/>
              <w:overflowPunct/>
              <w:topLinePunct w:val="0"/>
              <w:bidi w:val="0"/>
              <w:spacing w:line="588"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人力资源执法领域</w:t>
            </w:r>
          </w:p>
        </w:tc>
      </w:tr>
      <w:tr w14:paraId="46D49D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40" w:type="dxa"/>
            <w:gridSpan w:val="4"/>
          </w:tcPr>
          <w:p w14:paraId="6AB1732A">
            <w:pPr>
              <w:keepNext w:val="0"/>
              <w:keepLines w:val="0"/>
              <w:pageBreakBefore w:val="0"/>
              <w:kinsoku/>
              <w:wordWrap/>
              <w:overflowPunct/>
              <w:topLinePunct w:val="0"/>
              <w:bidi w:val="0"/>
              <w:spacing w:line="400" w:lineRule="exact"/>
              <w:jc w:val="center"/>
              <w:textAlignment w:val="auto"/>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不予处罚清单</w:t>
            </w:r>
          </w:p>
        </w:tc>
      </w:tr>
      <w:tr w14:paraId="170193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tcPr>
          <w:p w14:paraId="19A1443C">
            <w:pPr>
              <w:keepNext w:val="0"/>
              <w:keepLines w:val="0"/>
              <w:pageBreakBefore w:val="0"/>
              <w:kinsoku/>
              <w:wordWrap/>
              <w:overflowPunct/>
              <w:topLinePunct w:val="0"/>
              <w:bidi w:val="0"/>
              <w:spacing w:line="400" w:lineRule="exact"/>
              <w:jc w:val="center"/>
              <w:textAlignment w:val="auto"/>
              <w:rPr>
                <w:rFonts w:ascii="黑体" w:hAnsi="黑体" w:eastAsia="黑体"/>
                <w:sz w:val="28"/>
                <w:szCs w:val="28"/>
              </w:rPr>
            </w:pPr>
            <w:r>
              <w:rPr>
                <w:rFonts w:hint="eastAsia" w:ascii="黑体" w:hAnsi="黑体" w:eastAsia="黑体"/>
                <w:sz w:val="28"/>
                <w:szCs w:val="28"/>
              </w:rPr>
              <w:t>序号</w:t>
            </w:r>
          </w:p>
        </w:tc>
        <w:tc>
          <w:tcPr>
            <w:tcW w:w="4274" w:type="dxa"/>
          </w:tcPr>
          <w:p w14:paraId="4BAB7049">
            <w:pPr>
              <w:keepNext w:val="0"/>
              <w:keepLines w:val="0"/>
              <w:pageBreakBefore w:val="0"/>
              <w:kinsoku/>
              <w:wordWrap/>
              <w:overflowPunct/>
              <w:topLinePunct w:val="0"/>
              <w:bidi w:val="0"/>
              <w:spacing w:line="400" w:lineRule="exact"/>
              <w:jc w:val="center"/>
              <w:textAlignment w:val="auto"/>
              <w:rPr>
                <w:rFonts w:ascii="黑体" w:hAnsi="黑体" w:eastAsia="黑体"/>
                <w:sz w:val="28"/>
                <w:szCs w:val="28"/>
              </w:rPr>
            </w:pPr>
            <w:r>
              <w:rPr>
                <w:rFonts w:hint="eastAsia" w:ascii="黑体" w:hAnsi="黑体" w:eastAsia="黑体"/>
                <w:sz w:val="28"/>
                <w:szCs w:val="28"/>
              </w:rPr>
              <w:t>处罚事项</w:t>
            </w:r>
          </w:p>
        </w:tc>
        <w:tc>
          <w:tcPr>
            <w:tcW w:w="5184" w:type="dxa"/>
          </w:tcPr>
          <w:p w14:paraId="64DE2916">
            <w:pPr>
              <w:keepNext w:val="0"/>
              <w:keepLines w:val="0"/>
              <w:pageBreakBefore w:val="0"/>
              <w:kinsoku/>
              <w:wordWrap/>
              <w:overflowPunct/>
              <w:topLinePunct w:val="0"/>
              <w:bidi w:val="0"/>
              <w:spacing w:line="400" w:lineRule="exact"/>
              <w:jc w:val="center"/>
              <w:textAlignment w:val="auto"/>
              <w:rPr>
                <w:rFonts w:ascii="黑体" w:hAnsi="黑体" w:eastAsia="黑体"/>
                <w:b/>
                <w:sz w:val="28"/>
                <w:szCs w:val="28"/>
              </w:rPr>
            </w:pPr>
            <w:r>
              <w:rPr>
                <w:rFonts w:ascii="黑体" w:hAnsi="黑体" w:eastAsia="黑体"/>
                <w:color w:val="000000"/>
                <w:sz w:val="28"/>
                <w:szCs w:val="28"/>
              </w:rPr>
              <w:t>不予处罚的情形</w:t>
            </w:r>
          </w:p>
        </w:tc>
        <w:tc>
          <w:tcPr>
            <w:tcW w:w="3987" w:type="dxa"/>
          </w:tcPr>
          <w:p w14:paraId="03718693">
            <w:pPr>
              <w:keepNext w:val="0"/>
              <w:keepLines w:val="0"/>
              <w:pageBreakBefore w:val="0"/>
              <w:kinsoku/>
              <w:wordWrap/>
              <w:overflowPunct/>
              <w:topLinePunct w:val="0"/>
              <w:bidi w:val="0"/>
              <w:spacing w:line="400" w:lineRule="exact"/>
              <w:jc w:val="center"/>
              <w:textAlignment w:val="auto"/>
              <w:rPr>
                <w:rFonts w:ascii="黑体" w:hAnsi="黑体" w:eastAsia="黑体"/>
                <w:sz w:val="28"/>
                <w:szCs w:val="28"/>
              </w:rPr>
            </w:pPr>
            <w:r>
              <w:rPr>
                <w:rFonts w:ascii="黑体" w:hAnsi="黑体" w:eastAsia="黑体"/>
                <w:color w:val="000000"/>
                <w:sz w:val="28"/>
                <w:szCs w:val="28"/>
              </w:rPr>
              <w:t>不予处罚的依据</w:t>
            </w:r>
          </w:p>
        </w:tc>
      </w:tr>
      <w:tr w14:paraId="2CC703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72B67D09">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p>
          <w:p w14:paraId="6AD5AA37">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1</w:t>
            </w:r>
          </w:p>
        </w:tc>
        <w:tc>
          <w:tcPr>
            <w:tcW w:w="4274" w:type="dxa"/>
            <w:vAlign w:val="center"/>
          </w:tcPr>
          <w:p w14:paraId="4DBD39FC">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Theme="minorEastAsia" w:hAnsiTheme="minorEastAsia"/>
                <w:sz w:val="24"/>
                <w:szCs w:val="24"/>
              </w:rPr>
            </w:pPr>
            <w:r>
              <w:rPr>
                <w:rFonts w:hint="eastAsia" w:cs="仿宋_GB2312" w:asciiTheme="minorEastAsia" w:hAnsiTheme="minorEastAsia"/>
                <w:color w:val="000000"/>
                <w:kern w:val="0"/>
                <w:sz w:val="24"/>
                <w:szCs w:val="24"/>
              </w:rPr>
              <w:t>对以实习名义招用高等院校、中等职业学校在校学生的处罚</w:t>
            </w:r>
          </w:p>
        </w:tc>
        <w:tc>
          <w:tcPr>
            <w:tcW w:w="5184" w:type="dxa"/>
            <w:vAlign w:val="center"/>
          </w:tcPr>
          <w:p w14:paraId="40D94B56">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01C77348">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02E6E4B4">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6D54FD19">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Theme="minorEastAsia" w:hAnsiTheme="minorEastAsia"/>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59DD5D84">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宋体" w:hAnsi="宋体" w:cs="仿宋_GB2312"/>
                <w:color w:val="000000"/>
                <w:kern w:val="0"/>
                <w:sz w:val="24"/>
                <w:szCs w:val="24"/>
              </w:rPr>
            </w:pPr>
            <w:r>
              <w:rPr>
                <w:rFonts w:hint="eastAsia" w:ascii="宋体" w:hAnsi="宋体" w:cs="仿宋_GB2312"/>
                <w:color w:val="000000"/>
                <w:kern w:val="0"/>
                <w:sz w:val="24"/>
                <w:szCs w:val="24"/>
              </w:rPr>
              <w:t>《天津市就业促进条例》第三十三条用人单位违反本条例第二十条第（六）项、第（七）项、</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p w14:paraId="50F65697">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Theme="minorEastAsia" w:hAnsiTheme="minorEastAsia"/>
                <w:sz w:val="24"/>
                <w:szCs w:val="24"/>
              </w:rPr>
            </w:pPr>
          </w:p>
        </w:tc>
      </w:tr>
      <w:tr w14:paraId="0DAE68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383B1331">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p>
          <w:p w14:paraId="5A915BAE">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2</w:t>
            </w:r>
          </w:p>
        </w:tc>
        <w:tc>
          <w:tcPr>
            <w:tcW w:w="4274" w:type="dxa"/>
            <w:vAlign w:val="center"/>
          </w:tcPr>
          <w:p w14:paraId="4E1F4FB0">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Theme="minorEastAsia" w:hAnsiTheme="minorEastAsia"/>
                <w:sz w:val="24"/>
                <w:szCs w:val="24"/>
              </w:rPr>
            </w:pPr>
            <w:r>
              <w:rPr>
                <w:rFonts w:hint="eastAsia" w:cs="仿宋_GB2312" w:asciiTheme="minorEastAsia" w:hAnsiTheme="minorEastAsia"/>
                <w:color w:val="000000"/>
                <w:kern w:val="0"/>
                <w:sz w:val="24"/>
                <w:szCs w:val="24"/>
              </w:rPr>
              <w:t>对职业中介机构不按规定退还中介服务费的处罚</w:t>
            </w:r>
          </w:p>
        </w:tc>
        <w:tc>
          <w:tcPr>
            <w:tcW w:w="5184" w:type="dxa"/>
            <w:vAlign w:val="center"/>
          </w:tcPr>
          <w:p w14:paraId="0D919D8B">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5BE86317">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2C261ABD">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50605CA4">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Theme="minorEastAsia" w:hAnsiTheme="minorEastAsia"/>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4E10CC72">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Theme="minorEastAsia" w:hAnsiTheme="minorEastAsia"/>
                <w:sz w:val="24"/>
                <w:szCs w:val="24"/>
              </w:rPr>
            </w:pPr>
            <w:r>
              <w:rPr>
                <w:rFonts w:hint="eastAsia" w:cs="仿宋_GB2312" w:asciiTheme="minorEastAsia" w:hAnsiTheme="minorEastAsia"/>
                <w:color w:val="000000"/>
                <w:kern w:val="0"/>
                <w:sz w:val="24"/>
                <w:szCs w:val="24"/>
              </w:rPr>
              <w:t>《就业服务与就业管理规定》第七十三条、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r w14:paraId="1F6A3D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5E97DDA4">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3</w:t>
            </w:r>
          </w:p>
          <w:p w14:paraId="4ED4C74A">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p>
        </w:tc>
        <w:tc>
          <w:tcPr>
            <w:tcW w:w="4274" w:type="dxa"/>
          </w:tcPr>
          <w:p w14:paraId="11647DC0">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p>
          <w:p w14:paraId="07023233">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Theme="minorEastAsia" w:hAnsiTheme="minorEastAsia"/>
                <w:sz w:val="24"/>
                <w:szCs w:val="24"/>
              </w:rPr>
            </w:pPr>
            <w:r>
              <w:rPr>
                <w:rFonts w:hint="eastAsia" w:cs="仿宋_GB2312" w:asciiTheme="minorEastAsia" w:hAnsiTheme="minorEastAsia"/>
                <w:color w:val="000000"/>
                <w:kern w:val="0"/>
                <w:sz w:val="24"/>
                <w:szCs w:val="24"/>
              </w:rPr>
              <w:t>对职业中介机构违法收取押金的处罚</w:t>
            </w:r>
          </w:p>
        </w:tc>
        <w:tc>
          <w:tcPr>
            <w:tcW w:w="5184" w:type="dxa"/>
          </w:tcPr>
          <w:p w14:paraId="60945FA0">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4CE0D82A">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2BCC986C">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3020F28C">
            <w:pPr>
              <w:keepNext w:val="0"/>
              <w:keepLines w:val="0"/>
              <w:pageBreakBefore w:val="0"/>
              <w:widowControl/>
              <w:kinsoku/>
              <w:wordWrap/>
              <w:overflowPunct/>
              <w:topLinePunct w:val="0"/>
              <w:bidi w:val="0"/>
              <w:adjustRightInd w:val="0"/>
              <w:snapToGrid w:val="0"/>
              <w:spacing w:line="400" w:lineRule="exact"/>
              <w:jc w:val="left"/>
              <w:textAlignment w:val="auto"/>
              <w:rPr>
                <w:rFonts w:asciiTheme="minorEastAsia" w:hAnsiTheme="minorEastAsia"/>
                <w:sz w:val="24"/>
                <w:szCs w:val="24"/>
              </w:rPr>
            </w:pPr>
            <w:r>
              <w:rPr>
                <w:rFonts w:hint="eastAsia" w:cs="仿宋_GB2312" w:asciiTheme="minorEastAsia" w:hAnsiTheme="minorEastAsia"/>
                <w:color w:val="000000"/>
                <w:sz w:val="24"/>
                <w:szCs w:val="24"/>
              </w:rPr>
              <w:t>3.当事人有证据足以证明没有主观过错的。</w:t>
            </w:r>
          </w:p>
        </w:tc>
        <w:tc>
          <w:tcPr>
            <w:tcW w:w="3987" w:type="dxa"/>
          </w:tcPr>
          <w:p w14:paraId="2760BF9F">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《中华人民共和国就业促进法》第六十六条、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p w14:paraId="7BDAFB8F">
            <w:pPr>
              <w:keepNext w:val="0"/>
              <w:keepLines w:val="0"/>
              <w:pageBreakBefore w:val="0"/>
              <w:widowControl/>
              <w:kinsoku/>
              <w:wordWrap/>
              <w:overflowPunct/>
              <w:topLinePunct w:val="0"/>
              <w:bidi w:val="0"/>
              <w:adjustRightInd w:val="0"/>
              <w:snapToGrid w:val="0"/>
              <w:spacing w:line="400" w:lineRule="exact"/>
              <w:jc w:val="left"/>
              <w:textAlignment w:val="auto"/>
              <w:rPr>
                <w:rFonts w:asciiTheme="minorEastAsia" w:hAnsiTheme="minorEastAsia"/>
                <w:sz w:val="24"/>
                <w:szCs w:val="24"/>
              </w:rPr>
            </w:pPr>
          </w:p>
        </w:tc>
      </w:tr>
      <w:tr w14:paraId="202E76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6C191115">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4</w:t>
            </w:r>
          </w:p>
        </w:tc>
        <w:tc>
          <w:tcPr>
            <w:tcW w:w="4274" w:type="dxa"/>
            <w:vAlign w:val="center"/>
          </w:tcPr>
          <w:p w14:paraId="1236D561">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对职业中介机构在服务场所不明示许可证、监督电话的处罚</w:t>
            </w:r>
          </w:p>
        </w:tc>
        <w:tc>
          <w:tcPr>
            <w:tcW w:w="5184" w:type="dxa"/>
            <w:vAlign w:val="center"/>
          </w:tcPr>
          <w:p w14:paraId="16ABF785">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13D3C4D3">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11917DE5">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05DF50F0">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1D3A2AB8">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《就业服务与就业管理规定》第七十一条、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r w14:paraId="19A559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51FBE16C">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5</w:t>
            </w:r>
          </w:p>
        </w:tc>
        <w:tc>
          <w:tcPr>
            <w:tcW w:w="4274" w:type="dxa"/>
            <w:vAlign w:val="center"/>
          </w:tcPr>
          <w:p w14:paraId="06C91045">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对职业中介机构不按规定建立服务台账的处罚</w:t>
            </w:r>
          </w:p>
        </w:tc>
        <w:tc>
          <w:tcPr>
            <w:tcW w:w="5184" w:type="dxa"/>
            <w:vAlign w:val="center"/>
          </w:tcPr>
          <w:p w14:paraId="234DA850">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1CFF07B3">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6BD11321">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4D8283E4">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3512F7AF">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《就业服务与就业管理规定》第七十二条、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r w14:paraId="2B85CD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11453E62">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6</w:t>
            </w:r>
          </w:p>
        </w:tc>
        <w:tc>
          <w:tcPr>
            <w:tcW w:w="4274" w:type="dxa"/>
            <w:vAlign w:val="center"/>
          </w:tcPr>
          <w:p w14:paraId="5D7C9DDE">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对用工单位未经法定程序确定辅助性岗位的处罚</w:t>
            </w:r>
          </w:p>
        </w:tc>
        <w:tc>
          <w:tcPr>
            <w:tcW w:w="5184" w:type="dxa"/>
            <w:vAlign w:val="center"/>
          </w:tcPr>
          <w:p w14:paraId="6BB0A7E8">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4DAD858C">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2FE53ABF">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6C06B093">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709130B7">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《劳务派遣暂行规定》第二十二条、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r w14:paraId="65ED78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678F2C82">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7</w:t>
            </w:r>
          </w:p>
        </w:tc>
        <w:tc>
          <w:tcPr>
            <w:tcW w:w="4274" w:type="dxa"/>
            <w:vAlign w:val="center"/>
          </w:tcPr>
          <w:p w14:paraId="0AF6C04A">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对用人单位违法收取劳动者财物的处罚</w:t>
            </w:r>
          </w:p>
        </w:tc>
        <w:tc>
          <w:tcPr>
            <w:tcW w:w="5184" w:type="dxa"/>
            <w:vAlign w:val="center"/>
          </w:tcPr>
          <w:p w14:paraId="48A9E2B9">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64E272B2">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0CC385EA">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2358780A">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7DC6794E">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《中华人民共和国劳动合同法》第八十四条、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r w14:paraId="04D97F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72EECF6C">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8</w:t>
            </w:r>
          </w:p>
        </w:tc>
        <w:tc>
          <w:tcPr>
            <w:tcW w:w="4274" w:type="dxa"/>
            <w:vAlign w:val="center"/>
          </w:tcPr>
          <w:p w14:paraId="43EB234D">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对用人单位违规延长劳动者工作时间的处罚</w:t>
            </w:r>
          </w:p>
        </w:tc>
        <w:tc>
          <w:tcPr>
            <w:tcW w:w="5184" w:type="dxa"/>
            <w:vAlign w:val="center"/>
          </w:tcPr>
          <w:p w14:paraId="113AD1B5">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09F7DF40">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008544A0">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136E4974">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21EB116A">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《劳动保障监察条例》第二十五条、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r w14:paraId="5EA842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6FBEE329">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9</w:t>
            </w:r>
          </w:p>
        </w:tc>
        <w:tc>
          <w:tcPr>
            <w:tcW w:w="4274" w:type="dxa"/>
            <w:vAlign w:val="center"/>
          </w:tcPr>
          <w:p w14:paraId="7980C4FC">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对企业违规提取或者挪用职工教育经费的处罚</w:t>
            </w:r>
          </w:p>
        </w:tc>
        <w:tc>
          <w:tcPr>
            <w:tcW w:w="5184" w:type="dxa"/>
            <w:vAlign w:val="center"/>
          </w:tcPr>
          <w:p w14:paraId="3D28F0BE">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44092A3D">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4A48620D">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08675AE2">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4231BC24">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《中华人民共和国就业促进法》第六十七条、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r w14:paraId="5C0D57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512A2089">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10</w:t>
            </w:r>
          </w:p>
        </w:tc>
        <w:tc>
          <w:tcPr>
            <w:tcW w:w="4274" w:type="dxa"/>
            <w:vAlign w:val="center"/>
          </w:tcPr>
          <w:p w14:paraId="5908B3DF">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对船员服务机构未依法与相关劳动者或者船员用人单位订立劳务派遣合同的处罚</w:t>
            </w:r>
          </w:p>
        </w:tc>
        <w:tc>
          <w:tcPr>
            <w:tcW w:w="5184" w:type="dxa"/>
            <w:vAlign w:val="center"/>
          </w:tcPr>
          <w:p w14:paraId="124088EE">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1BF84697">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668E4BFB">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5698A4F2">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465887A4">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《中华人民共和国船员条例》第五十九条、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bl>
    <w:p w14:paraId="10BB91C2">
      <w:pPr>
        <w:keepNext w:val="0"/>
        <w:keepLines w:val="0"/>
        <w:pageBreakBefore w:val="0"/>
        <w:kinsoku/>
        <w:wordWrap/>
        <w:overflowPunct/>
        <w:topLinePunct w:val="0"/>
        <w:bidi w:val="0"/>
        <w:spacing w:line="588" w:lineRule="exact"/>
        <w:jc w:val="center"/>
        <w:rPr>
          <w:rFonts w:hint="eastAsia" w:ascii="方正小标宋简体" w:hAnsi="黑体" w:eastAsia="方正小标宋简体"/>
          <w:color w:val="000000"/>
          <w:sz w:val="44"/>
          <w:szCs w:val="44"/>
        </w:rPr>
        <w:sectPr>
          <w:pgSz w:w="16838" w:h="11906" w:orient="landscape"/>
          <w:pgMar w:top="1587" w:right="1984" w:bottom="1474" w:left="1984" w:header="851" w:footer="992" w:gutter="0"/>
          <w:pgNumType w:fmt="numberInDash"/>
          <w:cols w:space="0" w:num="1"/>
          <w:rtlGutter w:val="0"/>
          <w:docGrid w:type="lines" w:linePitch="315" w:charSpace="0"/>
        </w:sectPr>
      </w:pPr>
    </w:p>
    <w:tbl>
      <w:tblPr>
        <w:tblStyle w:val="11"/>
        <w:tblpPr w:leftFromText="180" w:rightFromText="180" w:vertAnchor="text" w:horzAnchor="margin" w:tblpX="-641" w:tblpY="170"/>
        <w:tblW w:w="143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0"/>
        <w:gridCol w:w="4259"/>
        <w:gridCol w:w="5214"/>
        <w:gridCol w:w="3972"/>
      </w:tblGrid>
      <w:tr w14:paraId="1E431B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55" w:type="dxa"/>
            <w:gridSpan w:val="4"/>
          </w:tcPr>
          <w:p w14:paraId="629E7CDF">
            <w:pPr>
              <w:keepNext w:val="0"/>
              <w:keepLines w:val="0"/>
              <w:pageBreakBefore w:val="0"/>
              <w:kinsoku/>
              <w:wordWrap/>
              <w:overflowPunct/>
              <w:topLinePunct w:val="0"/>
              <w:bidi w:val="0"/>
              <w:spacing w:line="588"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安全生产执法领域</w:t>
            </w:r>
          </w:p>
        </w:tc>
      </w:tr>
      <w:tr w14:paraId="5300D3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55" w:type="dxa"/>
            <w:gridSpan w:val="4"/>
          </w:tcPr>
          <w:p w14:paraId="1EF04DC9">
            <w:pPr>
              <w:keepNext w:val="0"/>
              <w:keepLines w:val="0"/>
              <w:pageBreakBefore w:val="0"/>
              <w:widowControl w:val="0"/>
              <w:kinsoku/>
              <w:wordWrap/>
              <w:overflowPunct/>
              <w:topLinePunct w:val="0"/>
              <w:bidi w:val="0"/>
              <w:spacing w:line="400" w:lineRule="exact"/>
              <w:jc w:val="center"/>
              <w:textAlignment w:val="auto"/>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不予处罚清单</w:t>
            </w:r>
          </w:p>
        </w:tc>
      </w:tr>
      <w:tr w14:paraId="290E9B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tcPr>
          <w:p w14:paraId="34A1E4E7">
            <w:pPr>
              <w:keepNext w:val="0"/>
              <w:keepLines w:val="0"/>
              <w:pageBreakBefore w:val="0"/>
              <w:widowControl w:val="0"/>
              <w:kinsoku/>
              <w:wordWrap/>
              <w:overflowPunct/>
              <w:topLinePunct w:val="0"/>
              <w:bidi w:val="0"/>
              <w:spacing w:line="400" w:lineRule="exact"/>
              <w:jc w:val="center"/>
              <w:textAlignment w:val="auto"/>
              <w:rPr>
                <w:rFonts w:ascii="黑体" w:hAnsi="黑体" w:eastAsia="黑体"/>
                <w:sz w:val="28"/>
                <w:szCs w:val="28"/>
              </w:rPr>
            </w:pPr>
            <w:r>
              <w:rPr>
                <w:rFonts w:hint="eastAsia" w:ascii="黑体" w:hAnsi="黑体" w:eastAsia="黑体"/>
                <w:sz w:val="28"/>
                <w:szCs w:val="28"/>
              </w:rPr>
              <w:t>序号</w:t>
            </w:r>
          </w:p>
        </w:tc>
        <w:tc>
          <w:tcPr>
            <w:tcW w:w="4259" w:type="dxa"/>
          </w:tcPr>
          <w:p w14:paraId="42DF4396">
            <w:pPr>
              <w:keepNext w:val="0"/>
              <w:keepLines w:val="0"/>
              <w:pageBreakBefore w:val="0"/>
              <w:widowControl w:val="0"/>
              <w:kinsoku/>
              <w:wordWrap/>
              <w:overflowPunct/>
              <w:topLinePunct w:val="0"/>
              <w:bidi w:val="0"/>
              <w:spacing w:line="400" w:lineRule="exact"/>
              <w:jc w:val="center"/>
              <w:textAlignment w:val="auto"/>
              <w:rPr>
                <w:rFonts w:ascii="黑体" w:hAnsi="黑体" w:eastAsia="黑体"/>
                <w:sz w:val="28"/>
                <w:szCs w:val="28"/>
              </w:rPr>
            </w:pPr>
            <w:r>
              <w:rPr>
                <w:rFonts w:hint="eastAsia" w:ascii="黑体" w:hAnsi="黑体" w:eastAsia="黑体"/>
                <w:sz w:val="28"/>
                <w:szCs w:val="28"/>
              </w:rPr>
              <w:t>处罚事项</w:t>
            </w:r>
          </w:p>
        </w:tc>
        <w:tc>
          <w:tcPr>
            <w:tcW w:w="5214" w:type="dxa"/>
          </w:tcPr>
          <w:p w14:paraId="059FCC5B">
            <w:pPr>
              <w:keepNext w:val="0"/>
              <w:keepLines w:val="0"/>
              <w:pageBreakBefore w:val="0"/>
              <w:widowControl w:val="0"/>
              <w:kinsoku/>
              <w:wordWrap/>
              <w:overflowPunct/>
              <w:topLinePunct w:val="0"/>
              <w:bidi w:val="0"/>
              <w:spacing w:line="400" w:lineRule="exact"/>
              <w:jc w:val="center"/>
              <w:textAlignment w:val="auto"/>
              <w:rPr>
                <w:rFonts w:ascii="黑体" w:hAnsi="黑体" w:eastAsia="黑体"/>
                <w:b/>
                <w:sz w:val="28"/>
                <w:szCs w:val="28"/>
              </w:rPr>
            </w:pPr>
            <w:r>
              <w:rPr>
                <w:rFonts w:ascii="黑体" w:hAnsi="黑体" w:eastAsia="黑体"/>
                <w:color w:val="000000"/>
                <w:sz w:val="28"/>
                <w:szCs w:val="28"/>
              </w:rPr>
              <w:t>不予处罚的情形</w:t>
            </w:r>
          </w:p>
        </w:tc>
        <w:tc>
          <w:tcPr>
            <w:tcW w:w="3972" w:type="dxa"/>
          </w:tcPr>
          <w:p w14:paraId="515B912D">
            <w:pPr>
              <w:keepNext w:val="0"/>
              <w:keepLines w:val="0"/>
              <w:pageBreakBefore w:val="0"/>
              <w:widowControl w:val="0"/>
              <w:kinsoku/>
              <w:wordWrap/>
              <w:overflowPunct/>
              <w:topLinePunct w:val="0"/>
              <w:bidi w:val="0"/>
              <w:spacing w:line="400" w:lineRule="exact"/>
              <w:jc w:val="center"/>
              <w:textAlignment w:val="auto"/>
              <w:rPr>
                <w:rFonts w:ascii="黑体" w:hAnsi="黑体" w:eastAsia="黑体"/>
                <w:sz w:val="28"/>
                <w:szCs w:val="28"/>
              </w:rPr>
            </w:pPr>
            <w:r>
              <w:rPr>
                <w:rFonts w:ascii="黑体" w:hAnsi="黑体" w:eastAsia="黑体"/>
                <w:color w:val="000000"/>
                <w:sz w:val="28"/>
                <w:szCs w:val="28"/>
              </w:rPr>
              <w:t>不予处罚的依据</w:t>
            </w:r>
          </w:p>
        </w:tc>
      </w:tr>
      <w:tr w14:paraId="7C2F98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26F763C4">
            <w:pPr>
              <w:keepNext w:val="0"/>
              <w:keepLines w:val="0"/>
              <w:pageBreakBefore w:val="0"/>
              <w:widowControl w:val="0"/>
              <w:kinsoku/>
              <w:wordWrap/>
              <w:overflowPunct/>
              <w:topLinePunct w:val="0"/>
              <w:bidi w:val="0"/>
              <w:spacing w:line="400" w:lineRule="exact"/>
              <w:jc w:val="center"/>
              <w:textAlignment w:val="auto"/>
              <w:rPr>
                <w:rFonts w:asciiTheme="minorEastAsia" w:hAnsiTheme="minorEastAsia"/>
                <w:sz w:val="24"/>
                <w:szCs w:val="24"/>
              </w:rPr>
            </w:pPr>
            <w:r>
              <w:rPr>
                <w:rFonts w:hint="eastAsia" w:cs="Times New Roman" w:asciiTheme="minorEastAsia" w:hAnsiTheme="minorEastAsia"/>
                <w:kern w:val="0"/>
                <w:sz w:val="24"/>
                <w:szCs w:val="24"/>
              </w:rPr>
              <w:t>1</w:t>
            </w:r>
          </w:p>
        </w:tc>
        <w:tc>
          <w:tcPr>
            <w:tcW w:w="4259" w:type="dxa"/>
            <w:vAlign w:val="center"/>
          </w:tcPr>
          <w:p w14:paraId="7C8FB912">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未依法与委托方签订技术服务合同的</w:t>
            </w:r>
          </w:p>
        </w:tc>
        <w:tc>
          <w:tcPr>
            <w:tcW w:w="5214" w:type="dxa"/>
          </w:tcPr>
          <w:p w14:paraId="6FA9F342">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w:t>
            </w:r>
          </w:p>
          <w:p w14:paraId="44ECEAB3">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1.已签订技术服务合同，但未明确服务对象、范围、权利、义务或者责任；                                     </w:t>
            </w:r>
          </w:p>
          <w:p w14:paraId="6263E489">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2.没有专门签订技术服务合同，但已经通过其他书面形式明确技术服务的对象、范围、权利、义务和责任；                                                 </w:t>
            </w:r>
          </w:p>
          <w:p w14:paraId="0845A42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3.委托方已部分支付技术服务费用；                 </w:t>
            </w:r>
          </w:p>
          <w:p w14:paraId="7FC3E7C1">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4.安全评价检测检验机构有进行实地勘验、现场搜集材料或者出具报告等已经实际履行合同的行为；</w:t>
            </w:r>
          </w:p>
          <w:p w14:paraId="39B43E64">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涉及3项（次）以下技术服务，且存在上述情形之一。</w:t>
            </w:r>
          </w:p>
          <w:p w14:paraId="7CB33431">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初次违法且危害后果轻微并及时改正的，可以不予行政处罚。                                                                                                  </w:t>
            </w:r>
          </w:p>
        </w:tc>
        <w:tc>
          <w:tcPr>
            <w:tcW w:w="3972" w:type="dxa"/>
            <w:vAlign w:val="center"/>
          </w:tcPr>
          <w:p w14:paraId="6DAB6DF8">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r w14:paraId="4A496A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57EDA51D">
            <w:pPr>
              <w:keepNext w:val="0"/>
              <w:keepLines w:val="0"/>
              <w:pageBreakBefore w:val="0"/>
              <w:widowControl w:val="0"/>
              <w:kinsoku/>
              <w:wordWrap/>
              <w:overflowPunct/>
              <w:topLinePunct w:val="0"/>
              <w:bidi w:val="0"/>
              <w:spacing w:line="400" w:lineRule="exact"/>
              <w:jc w:val="center"/>
              <w:textAlignment w:val="auto"/>
              <w:rPr>
                <w:rFonts w:asciiTheme="minorEastAsia" w:hAnsiTheme="minorEastAsia"/>
                <w:sz w:val="24"/>
                <w:szCs w:val="24"/>
              </w:rPr>
            </w:pPr>
            <w:r>
              <w:rPr>
                <w:rFonts w:hint="eastAsia" w:cs="Times New Roman" w:asciiTheme="minorEastAsia" w:hAnsiTheme="minorEastAsia"/>
                <w:kern w:val="0"/>
                <w:sz w:val="24"/>
                <w:szCs w:val="24"/>
              </w:rPr>
              <w:t>2</w:t>
            </w:r>
          </w:p>
        </w:tc>
        <w:tc>
          <w:tcPr>
            <w:tcW w:w="4259" w:type="dxa"/>
            <w:vAlign w:val="center"/>
          </w:tcPr>
          <w:p w14:paraId="51338884">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未按照规定开展应急预案评审的</w:t>
            </w:r>
          </w:p>
        </w:tc>
        <w:tc>
          <w:tcPr>
            <w:tcW w:w="5214" w:type="dxa"/>
          </w:tcPr>
          <w:p w14:paraId="5E02DA8B">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违法行为轻微并及时改正，没有造成危害后果的，不予行政处罚：已按规定编制应急预案。</w:t>
            </w:r>
          </w:p>
          <w:p w14:paraId="2DE1AB81">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初次违法且危害后果轻微并及时改正的，可以不予行政处罚。</w:t>
            </w:r>
          </w:p>
        </w:tc>
        <w:tc>
          <w:tcPr>
            <w:tcW w:w="3972" w:type="dxa"/>
            <w:vAlign w:val="center"/>
          </w:tcPr>
          <w:p w14:paraId="7761A4D0">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r w14:paraId="6E94C5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0C3430D2">
            <w:pPr>
              <w:keepNext w:val="0"/>
              <w:keepLines w:val="0"/>
              <w:pageBreakBefore w:val="0"/>
              <w:widowControl w:val="0"/>
              <w:kinsoku/>
              <w:wordWrap/>
              <w:overflowPunct/>
              <w:topLinePunct w:val="0"/>
              <w:bidi w:val="0"/>
              <w:spacing w:line="400" w:lineRule="exact"/>
              <w:jc w:val="center"/>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3</w:t>
            </w:r>
          </w:p>
        </w:tc>
        <w:tc>
          <w:tcPr>
            <w:tcW w:w="4259" w:type="dxa"/>
            <w:vAlign w:val="center"/>
          </w:tcPr>
          <w:p w14:paraId="6A1779B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未落实应急预案规定的应急物资及装备的</w:t>
            </w:r>
          </w:p>
        </w:tc>
        <w:tc>
          <w:tcPr>
            <w:tcW w:w="5214" w:type="dxa"/>
          </w:tcPr>
          <w:p w14:paraId="1413DB08">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违法行为轻微并及时改正，没有造成危害后果的，不予行政处罚：应急预案规定的部分应急物资及装备未落实，且企业能够提供相关应急物资采购订单票据或有其他证据表明企业已经完成采购。</w:t>
            </w:r>
          </w:p>
          <w:p w14:paraId="409220A3">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初次违法且危害后果轻微并及时改正的，可以不予行政处罚。</w:t>
            </w:r>
          </w:p>
        </w:tc>
        <w:tc>
          <w:tcPr>
            <w:tcW w:w="3972" w:type="dxa"/>
            <w:vAlign w:val="center"/>
          </w:tcPr>
          <w:p w14:paraId="20A51A69">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r w14:paraId="39C3C8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6173E43D">
            <w:pPr>
              <w:keepNext w:val="0"/>
              <w:keepLines w:val="0"/>
              <w:pageBreakBefore w:val="0"/>
              <w:widowControl w:val="0"/>
              <w:kinsoku/>
              <w:wordWrap/>
              <w:overflowPunct/>
              <w:topLinePunct w:val="0"/>
              <w:bidi w:val="0"/>
              <w:spacing w:line="400" w:lineRule="exact"/>
              <w:jc w:val="center"/>
              <w:textAlignment w:val="auto"/>
              <w:rPr>
                <w:rFonts w:asciiTheme="minorEastAsia" w:hAnsiTheme="minorEastAsia"/>
                <w:sz w:val="24"/>
                <w:szCs w:val="24"/>
              </w:rPr>
            </w:pPr>
            <w:r>
              <w:rPr>
                <w:rFonts w:hint="eastAsia" w:cs="Times New Roman" w:asciiTheme="minorEastAsia" w:hAnsiTheme="minorEastAsia"/>
                <w:kern w:val="0"/>
                <w:sz w:val="24"/>
                <w:szCs w:val="24"/>
              </w:rPr>
              <w:t>4</w:t>
            </w:r>
          </w:p>
        </w:tc>
        <w:tc>
          <w:tcPr>
            <w:tcW w:w="4259" w:type="dxa"/>
            <w:vAlign w:val="center"/>
          </w:tcPr>
          <w:p w14:paraId="6FD6685F">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从业人员进行安全培训期间未支付工资并承担安全培训费用的</w:t>
            </w:r>
          </w:p>
        </w:tc>
        <w:tc>
          <w:tcPr>
            <w:tcW w:w="5214" w:type="dxa"/>
          </w:tcPr>
          <w:p w14:paraId="0FF00DED">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违法行为轻微并及时改正，没有造成危害后果的，不予行政处罚：未支付工资并承担安全培训费用合计不超过1万元。</w:t>
            </w:r>
          </w:p>
          <w:p w14:paraId="60544ACC">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初次违法且危害后果轻微并及时改正的，可以不予行政处罚。</w:t>
            </w:r>
          </w:p>
        </w:tc>
        <w:tc>
          <w:tcPr>
            <w:tcW w:w="3972" w:type="dxa"/>
            <w:vAlign w:val="center"/>
          </w:tcPr>
          <w:p w14:paraId="771ED40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r w14:paraId="727196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36B8CB13">
            <w:pPr>
              <w:keepNext w:val="0"/>
              <w:keepLines w:val="0"/>
              <w:pageBreakBefore w:val="0"/>
              <w:widowControl w:val="0"/>
              <w:kinsoku/>
              <w:wordWrap/>
              <w:overflowPunct/>
              <w:topLinePunct w:val="0"/>
              <w:bidi w:val="0"/>
              <w:spacing w:line="400" w:lineRule="exact"/>
              <w:jc w:val="center"/>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5</w:t>
            </w:r>
          </w:p>
        </w:tc>
        <w:tc>
          <w:tcPr>
            <w:tcW w:w="4259" w:type="dxa"/>
            <w:vAlign w:val="center"/>
          </w:tcPr>
          <w:p w14:paraId="74D9FE3B">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未建立健全特种作业人员档案的</w:t>
            </w:r>
          </w:p>
        </w:tc>
        <w:tc>
          <w:tcPr>
            <w:tcW w:w="5214" w:type="dxa"/>
          </w:tcPr>
          <w:p w14:paraId="31F2548B">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生产经营单位特种作业人员均取得特种作业操作证，并已按规定参加培训和复审，未及时建立档案或者已建立特种作业人员档案，但有3名以下新增特种作业人员（均持有有效的特种作业操作证）未及时建立档案。</w:t>
            </w:r>
          </w:p>
          <w:p w14:paraId="32561A78">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初次违法且危害后果轻微并及时改正的，可以不予行政处罚。</w:t>
            </w:r>
          </w:p>
        </w:tc>
        <w:tc>
          <w:tcPr>
            <w:tcW w:w="3972" w:type="dxa"/>
            <w:vAlign w:val="center"/>
          </w:tcPr>
          <w:p w14:paraId="0E9EBF6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r w14:paraId="52D73D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774B69A6">
            <w:pPr>
              <w:keepNext w:val="0"/>
              <w:keepLines w:val="0"/>
              <w:pageBreakBefore w:val="0"/>
              <w:widowControl w:val="0"/>
              <w:kinsoku/>
              <w:wordWrap/>
              <w:overflowPunct/>
              <w:topLinePunct w:val="0"/>
              <w:bidi w:val="0"/>
              <w:spacing w:line="400" w:lineRule="exact"/>
              <w:jc w:val="center"/>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6</w:t>
            </w:r>
          </w:p>
        </w:tc>
        <w:tc>
          <w:tcPr>
            <w:tcW w:w="4259" w:type="dxa"/>
            <w:vAlign w:val="center"/>
          </w:tcPr>
          <w:p w14:paraId="59751C4F">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未建立培训档案或者培训档案管理不规范的</w:t>
            </w:r>
          </w:p>
        </w:tc>
        <w:tc>
          <w:tcPr>
            <w:tcW w:w="5214" w:type="dxa"/>
          </w:tcPr>
          <w:p w14:paraId="20F18286">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违法行为轻微并及时改正，没有造成危害后果的，不予行政处罚：已按规定开展培训教育。</w:t>
            </w:r>
          </w:p>
          <w:p w14:paraId="37B03D6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初次违法且危害后果轻微并及时改正的，可以不予行政处罚。</w:t>
            </w:r>
          </w:p>
        </w:tc>
        <w:tc>
          <w:tcPr>
            <w:tcW w:w="3972" w:type="dxa"/>
            <w:vAlign w:val="center"/>
          </w:tcPr>
          <w:p w14:paraId="6F0D8DB6">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r w14:paraId="11738F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09B558E1">
            <w:pPr>
              <w:keepNext w:val="0"/>
              <w:keepLines w:val="0"/>
              <w:pageBreakBefore w:val="0"/>
              <w:widowControl w:val="0"/>
              <w:kinsoku/>
              <w:wordWrap/>
              <w:overflowPunct/>
              <w:topLinePunct w:val="0"/>
              <w:bidi w:val="0"/>
              <w:spacing w:line="400" w:lineRule="exact"/>
              <w:jc w:val="center"/>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7</w:t>
            </w:r>
          </w:p>
        </w:tc>
        <w:tc>
          <w:tcPr>
            <w:tcW w:w="4259" w:type="dxa"/>
            <w:vAlign w:val="center"/>
          </w:tcPr>
          <w:p w14:paraId="031B626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从业人员安全培训的时间少于《生产经营单位安全培训规定》或者有关标准规定的</w:t>
            </w:r>
          </w:p>
        </w:tc>
        <w:tc>
          <w:tcPr>
            <w:tcW w:w="5214" w:type="dxa"/>
          </w:tcPr>
          <w:p w14:paraId="3134C6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违法行为轻微并及时改正，没有造成危害后果的，不予行政处罚：涉及3名以下从业人员安全培训的时间不符合要求。</w:t>
            </w:r>
          </w:p>
          <w:p w14:paraId="24FE64D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初次违法且危害后果轻微并及时改正的，可以不予行政处罚。</w:t>
            </w:r>
          </w:p>
        </w:tc>
        <w:tc>
          <w:tcPr>
            <w:tcW w:w="3972" w:type="dxa"/>
            <w:vAlign w:val="center"/>
          </w:tcPr>
          <w:p w14:paraId="150D0C5F">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r w14:paraId="538E42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182DD7C4">
            <w:pPr>
              <w:keepNext w:val="0"/>
              <w:keepLines w:val="0"/>
              <w:pageBreakBefore w:val="0"/>
              <w:widowControl w:val="0"/>
              <w:kinsoku/>
              <w:wordWrap/>
              <w:overflowPunct/>
              <w:topLinePunct w:val="0"/>
              <w:bidi w:val="0"/>
              <w:spacing w:line="400" w:lineRule="exact"/>
              <w:jc w:val="center"/>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8</w:t>
            </w:r>
          </w:p>
        </w:tc>
        <w:tc>
          <w:tcPr>
            <w:tcW w:w="4259" w:type="dxa"/>
            <w:vAlign w:val="center"/>
          </w:tcPr>
          <w:p w14:paraId="19E16A2A">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事故隐患排查治理台账记录不全的</w:t>
            </w:r>
          </w:p>
        </w:tc>
        <w:tc>
          <w:tcPr>
            <w:tcW w:w="5214" w:type="dxa"/>
          </w:tcPr>
          <w:p w14:paraId="02BC411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事故隐患排查治理台账缺少排查时间、隐患内容、具体位置、隐患排查人、整改措施、整改责任人、整改完成时限、资金保障、整改验收等全部规定内容中3项以下。</w:t>
            </w:r>
          </w:p>
          <w:p w14:paraId="49E6A13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初次违法且危害后果轻微并及时改正的，可以不予行政处罚</w:t>
            </w:r>
            <w:r>
              <w:rPr>
                <w:rFonts w:hint="eastAsia" w:cs="仿宋_GB2312" w:asciiTheme="minorEastAsia" w:hAnsiTheme="minorEastAsia"/>
                <w:color w:val="000000"/>
                <w:kern w:val="0"/>
                <w:sz w:val="24"/>
                <w:szCs w:val="24"/>
              </w:rPr>
              <w:t>。</w:t>
            </w:r>
            <w:r>
              <w:rPr>
                <w:rFonts w:cs="仿宋_GB2312" w:asciiTheme="minorEastAsia" w:hAnsiTheme="minorEastAsia"/>
                <w:color w:val="000000"/>
                <w:kern w:val="0"/>
                <w:sz w:val="24"/>
                <w:szCs w:val="24"/>
              </w:rPr>
              <w:t xml:space="preserve">                                         </w:t>
            </w:r>
          </w:p>
        </w:tc>
        <w:tc>
          <w:tcPr>
            <w:tcW w:w="3972" w:type="dxa"/>
            <w:vAlign w:val="center"/>
          </w:tcPr>
          <w:p w14:paraId="56FA9C3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bl>
    <w:p w14:paraId="39F7113D">
      <w:pPr>
        <w:keepNext w:val="0"/>
        <w:keepLines w:val="0"/>
        <w:pageBreakBefore w:val="0"/>
        <w:tabs>
          <w:tab w:val="left" w:pos="1560"/>
        </w:tabs>
        <w:kinsoku/>
        <w:wordWrap/>
        <w:overflowPunct/>
        <w:topLinePunct w:val="0"/>
        <w:bidi w:val="0"/>
        <w:spacing w:line="588" w:lineRule="exact"/>
        <w:rPr>
          <w:rFonts w:ascii="仿宋_GB2312" w:hAnsi="方正仿宋_GBK" w:eastAsia="仿宋_GB2312" w:cs="方正仿宋_GBK"/>
          <w:sz w:val="28"/>
          <w:szCs w:val="28"/>
        </w:rPr>
      </w:pPr>
    </w:p>
    <w:p w14:paraId="06F5C8F8">
      <w:pPr>
        <w:keepNext w:val="0"/>
        <w:keepLines w:val="0"/>
        <w:pageBreakBefore w:val="0"/>
        <w:tabs>
          <w:tab w:val="left" w:pos="1560"/>
        </w:tabs>
        <w:kinsoku/>
        <w:wordWrap/>
        <w:overflowPunct/>
        <w:topLinePunct w:val="0"/>
        <w:bidi w:val="0"/>
        <w:spacing w:line="588" w:lineRule="exact"/>
        <w:rPr>
          <w:rFonts w:ascii="仿宋_GB2312" w:hAnsi="方正仿宋_GBK" w:eastAsia="仿宋_GB2312" w:cs="方正仿宋_GBK"/>
          <w:sz w:val="28"/>
          <w:szCs w:val="28"/>
        </w:rPr>
        <w:sectPr>
          <w:pgSz w:w="16838" w:h="11906" w:orient="landscape"/>
          <w:pgMar w:top="1587" w:right="1984" w:bottom="1474" w:left="1984" w:header="851" w:footer="992" w:gutter="0"/>
          <w:pgNumType w:fmt="numberInDash"/>
          <w:cols w:space="0" w:num="1"/>
          <w:rtlGutter w:val="0"/>
          <w:docGrid w:type="lines" w:linePitch="315" w:charSpace="0"/>
        </w:sectPr>
      </w:pPr>
    </w:p>
    <w:p w14:paraId="47FA2A8D">
      <w:pPr>
        <w:pStyle w:val="2"/>
      </w:pPr>
    </w:p>
    <w:tbl>
      <w:tblPr>
        <w:tblStyle w:val="11"/>
        <w:tblW w:w="1442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
        <w:gridCol w:w="4289"/>
        <w:gridCol w:w="5199"/>
        <w:gridCol w:w="4012"/>
      </w:tblGrid>
      <w:tr w14:paraId="2A2B73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21" w:type="dxa"/>
            <w:gridSpan w:val="4"/>
          </w:tcPr>
          <w:p w14:paraId="36AE67C3">
            <w:pPr>
              <w:keepNext w:val="0"/>
              <w:keepLines w:val="0"/>
              <w:pageBreakBefore w:val="0"/>
              <w:kinsoku/>
              <w:wordWrap/>
              <w:overflowPunct/>
              <w:topLinePunct w:val="0"/>
              <w:bidi w:val="0"/>
              <w:spacing w:line="588"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工程建设执法领域</w:t>
            </w:r>
          </w:p>
        </w:tc>
      </w:tr>
      <w:tr w14:paraId="725285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21" w:type="dxa"/>
            <w:gridSpan w:val="4"/>
          </w:tcPr>
          <w:p w14:paraId="5D5F102D">
            <w:pPr>
              <w:keepNext w:val="0"/>
              <w:keepLines w:val="0"/>
              <w:pageBreakBefore w:val="0"/>
              <w:widowControl w:val="0"/>
              <w:kinsoku/>
              <w:wordWrap/>
              <w:overflowPunct/>
              <w:topLinePunct w:val="0"/>
              <w:autoSpaceDE/>
              <w:autoSpaceDN/>
              <w:bidi w:val="0"/>
              <w:spacing w:line="400" w:lineRule="exact"/>
              <w:jc w:val="center"/>
              <w:textAlignment w:val="auto"/>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不予处罚清单</w:t>
            </w:r>
          </w:p>
        </w:tc>
      </w:tr>
      <w:tr w14:paraId="05E298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tcPr>
          <w:p w14:paraId="79E9B808">
            <w:pPr>
              <w:keepNext w:val="0"/>
              <w:keepLines w:val="0"/>
              <w:pageBreakBefore w:val="0"/>
              <w:widowControl w:val="0"/>
              <w:kinsoku/>
              <w:wordWrap/>
              <w:overflowPunct/>
              <w:topLinePunct w:val="0"/>
              <w:autoSpaceDE/>
              <w:autoSpaceDN/>
              <w:bidi w:val="0"/>
              <w:spacing w:line="400" w:lineRule="exact"/>
              <w:jc w:val="center"/>
              <w:textAlignment w:val="auto"/>
              <w:rPr>
                <w:rFonts w:ascii="黑体" w:hAnsi="黑体" w:eastAsia="黑体"/>
                <w:sz w:val="28"/>
                <w:szCs w:val="28"/>
              </w:rPr>
            </w:pPr>
            <w:r>
              <w:rPr>
                <w:rFonts w:hint="eastAsia" w:ascii="黑体" w:hAnsi="黑体" w:eastAsia="黑体"/>
                <w:sz w:val="28"/>
                <w:szCs w:val="28"/>
              </w:rPr>
              <w:t>序号</w:t>
            </w:r>
          </w:p>
        </w:tc>
        <w:tc>
          <w:tcPr>
            <w:tcW w:w="4289" w:type="dxa"/>
          </w:tcPr>
          <w:p w14:paraId="4D8CB741">
            <w:pPr>
              <w:keepNext w:val="0"/>
              <w:keepLines w:val="0"/>
              <w:pageBreakBefore w:val="0"/>
              <w:widowControl w:val="0"/>
              <w:kinsoku/>
              <w:wordWrap/>
              <w:overflowPunct/>
              <w:topLinePunct w:val="0"/>
              <w:autoSpaceDE/>
              <w:autoSpaceDN/>
              <w:bidi w:val="0"/>
              <w:spacing w:line="400" w:lineRule="exact"/>
              <w:jc w:val="center"/>
              <w:textAlignment w:val="auto"/>
              <w:rPr>
                <w:rFonts w:ascii="黑体" w:hAnsi="黑体" w:eastAsia="黑体"/>
                <w:sz w:val="28"/>
                <w:szCs w:val="28"/>
              </w:rPr>
            </w:pPr>
            <w:r>
              <w:rPr>
                <w:rFonts w:hint="eastAsia" w:ascii="黑体" w:hAnsi="黑体" w:eastAsia="黑体"/>
                <w:sz w:val="28"/>
                <w:szCs w:val="28"/>
              </w:rPr>
              <w:t>处罚事项</w:t>
            </w:r>
          </w:p>
        </w:tc>
        <w:tc>
          <w:tcPr>
            <w:tcW w:w="5199" w:type="dxa"/>
          </w:tcPr>
          <w:p w14:paraId="50F870E4">
            <w:pPr>
              <w:keepNext w:val="0"/>
              <w:keepLines w:val="0"/>
              <w:pageBreakBefore w:val="0"/>
              <w:widowControl w:val="0"/>
              <w:kinsoku/>
              <w:wordWrap/>
              <w:overflowPunct/>
              <w:topLinePunct w:val="0"/>
              <w:autoSpaceDE/>
              <w:autoSpaceDN/>
              <w:bidi w:val="0"/>
              <w:spacing w:line="400" w:lineRule="exact"/>
              <w:jc w:val="center"/>
              <w:textAlignment w:val="auto"/>
              <w:rPr>
                <w:rFonts w:ascii="黑体" w:hAnsi="黑体" w:eastAsia="黑体"/>
                <w:b/>
                <w:sz w:val="28"/>
                <w:szCs w:val="28"/>
              </w:rPr>
            </w:pPr>
            <w:r>
              <w:rPr>
                <w:rFonts w:ascii="黑体" w:hAnsi="黑体" w:eastAsia="黑体"/>
                <w:color w:val="000000"/>
                <w:sz w:val="28"/>
                <w:szCs w:val="28"/>
              </w:rPr>
              <w:t>不予处罚的情形</w:t>
            </w:r>
          </w:p>
        </w:tc>
        <w:tc>
          <w:tcPr>
            <w:tcW w:w="4012" w:type="dxa"/>
          </w:tcPr>
          <w:p w14:paraId="4E33E313">
            <w:pPr>
              <w:keepNext w:val="0"/>
              <w:keepLines w:val="0"/>
              <w:pageBreakBefore w:val="0"/>
              <w:widowControl w:val="0"/>
              <w:kinsoku/>
              <w:wordWrap/>
              <w:overflowPunct/>
              <w:topLinePunct w:val="0"/>
              <w:autoSpaceDE/>
              <w:autoSpaceDN/>
              <w:bidi w:val="0"/>
              <w:spacing w:line="400" w:lineRule="exact"/>
              <w:jc w:val="center"/>
              <w:textAlignment w:val="auto"/>
              <w:rPr>
                <w:rFonts w:ascii="黑体" w:hAnsi="黑体" w:eastAsia="黑体"/>
                <w:sz w:val="28"/>
                <w:szCs w:val="28"/>
              </w:rPr>
            </w:pPr>
            <w:r>
              <w:rPr>
                <w:rFonts w:ascii="黑体" w:hAnsi="黑体" w:eastAsia="黑体"/>
                <w:color w:val="000000"/>
                <w:sz w:val="28"/>
                <w:szCs w:val="28"/>
              </w:rPr>
              <w:t>不予处罚的依据</w:t>
            </w:r>
          </w:p>
        </w:tc>
      </w:tr>
      <w:tr w14:paraId="360988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14:paraId="43E0558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1</w:t>
            </w:r>
          </w:p>
        </w:tc>
        <w:tc>
          <w:tcPr>
            <w:tcW w:w="4289" w:type="dxa"/>
            <w:vAlign w:val="center"/>
          </w:tcPr>
          <w:p w14:paraId="0B87F2C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未按照规定悬挂建设工程总平面示意图的</w:t>
            </w:r>
          </w:p>
        </w:tc>
        <w:tc>
          <w:tcPr>
            <w:tcW w:w="5199" w:type="dxa"/>
            <w:vAlign w:val="center"/>
          </w:tcPr>
          <w:p w14:paraId="466D155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违反《天津市城乡规划条例》第五十三条，未按照规定悬挂建设工程总平面示意图的，责令改正后及时按规定悬挂的。</w:t>
            </w:r>
          </w:p>
        </w:tc>
        <w:tc>
          <w:tcPr>
            <w:tcW w:w="4012" w:type="dxa"/>
          </w:tcPr>
          <w:p w14:paraId="5B34AE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仿宋_GB2312" w:asciiTheme="minorEastAsia" w:hAnsiTheme="minorEastAsia"/>
                <w:sz w:val="24"/>
                <w:szCs w:val="24"/>
              </w:rPr>
            </w:pPr>
            <w:r>
              <w:rPr>
                <w:rFonts w:hint="eastAsia" w:cs="仿宋_GB2312" w:asciiTheme="minorEastAsia" w:hAnsiTheme="minorEastAsia"/>
                <w:color w:val="000000" w:themeColor="text1"/>
                <w:sz w:val="24"/>
                <w:szCs w:val="24"/>
                <w14:textFill>
                  <w14:solidFill>
                    <w14:schemeClr w14:val="tx1"/>
                  </w14:solidFill>
                </w14:textFill>
              </w:rPr>
              <w:t>《天津市城乡规划条例》（2019年修正）第五十三条、第七十八条、《中华人民共和国行政处罚法》第三十三条第一款</w:t>
            </w:r>
          </w:p>
        </w:tc>
      </w:tr>
      <w:tr w14:paraId="7B0F73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14:paraId="6F9B768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2</w:t>
            </w:r>
          </w:p>
        </w:tc>
        <w:tc>
          <w:tcPr>
            <w:tcW w:w="4289" w:type="dxa"/>
            <w:vAlign w:val="center"/>
          </w:tcPr>
          <w:p w14:paraId="0953DAD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对建设工程投入使用前不申请规划验收的</w:t>
            </w:r>
          </w:p>
        </w:tc>
        <w:tc>
          <w:tcPr>
            <w:tcW w:w="5199" w:type="dxa"/>
            <w:vAlign w:val="center"/>
          </w:tcPr>
          <w:p w14:paraId="0A68784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违反《天津市城乡规划条例》第六十五条，建设项目投入使用前未申请规划验收的，责令改正后及时办理规划验收手续，并积极提供竣工实测成果及法律法规规定的其他材料的。</w:t>
            </w:r>
          </w:p>
        </w:tc>
        <w:tc>
          <w:tcPr>
            <w:tcW w:w="4012" w:type="dxa"/>
            <w:vAlign w:val="center"/>
          </w:tcPr>
          <w:p w14:paraId="674F31C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《天津市城乡规划条例》（2019年修正）</w:t>
            </w:r>
            <w:r>
              <w:rPr>
                <w:rFonts w:hint="eastAsia" w:ascii="宋体" w:hAnsi="宋体" w:eastAsia="宋体" w:cs="宋体"/>
                <w:color w:val="000000" w:themeColor="text1"/>
                <w:sz w:val="24"/>
                <w:szCs w:val="24"/>
                <w14:textFill>
                  <w14:solidFill>
                    <w14:schemeClr w14:val="tx1"/>
                  </w14:solidFill>
                </w14:textFill>
              </w:rPr>
              <w:t>第六十五条</w:t>
            </w:r>
            <w:r>
              <w:rPr>
                <w:rFonts w:hint="eastAsia" w:cs="仿宋_GB2312" w:asciiTheme="minorEastAsia" w:hAnsiTheme="minorEastAsia"/>
                <w:color w:val="000000" w:themeColor="text1"/>
                <w:sz w:val="24"/>
                <w:szCs w:val="24"/>
                <w14:textFill>
                  <w14:solidFill>
                    <w14:schemeClr w14:val="tx1"/>
                  </w14:solidFill>
                </w14:textFill>
              </w:rPr>
              <w:t>、第七十九条、《中华人民共和国行政处罚法》第三十三条第一款</w:t>
            </w:r>
          </w:p>
        </w:tc>
      </w:tr>
      <w:tr w14:paraId="168FCA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14:paraId="22EE03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3</w:t>
            </w:r>
          </w:p>
        </w:tc>
        <w:tc>
          <w:tcPr>
            <w:tcW w:w="4289" w:type="dxa"/>
            <w:vAlign w:val="center"/>
          </w:tcPr>
          <w:p w14:paraId="3AC7A02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以楼、厦、苑、广场、花园、公寓、别墅、中心、山庄等形象名称申报地名与事实不符的</w:t>
            </w:r>
          </w:p>
        </w:tc>
        <w:tc>
          <w:tcPr>
            <w:tcW w:w="5199" w:type="dxa"/>
            <w:vAlign w:val="center"/>
          </w:tcPr>
          <w:p w14:paraId="6B09BFE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违反《天津市地名管理条例》第九条第二款规定，以楼、厦、苑、广场、花园、公寓、别墅、中心、山庄等形象名称申报地名与事实不符的，责令改正后及时改正，使地名与事实相符的。</w:t>
            </w:r>
          </w:p>
        </w:tc>
        <w:tc>
          <w:tcPr>
            <w:tcW w:w="4012" w:type="dxa"/>
            <w:vAlign w:val="center"/>
          </w:tcPr>
          <w:p w14:paraId="366254F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《天津市地名管理条例》（2018年修订）第九条、第三十条、《中华人民共和国行政处罚法》第三十三条第一款</w:t>
            </w:r>
          </w:p>
        </w:tc>
      </w:tr>
      <w:tr w14:paraId="6FE2A8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14:paraId="0AAD02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4</w:t>
            </w:r>
          </w:p>
        </w:tc>
        <w:tc>
          <w:tcPr>
            <w:tcW w:w="4289" w:type="dxa"/>
            <w:vAlign w:val="center"/>
          </w:tcPr>
          <w:p w14:paraId="6B3D317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擅自命名、更名的</w:t>
            </w:r>
          </w:p>
        </w:tc>
        <w:tc>
          <w:tcPr>
            <w:tcW w:w="5199" w:type="dxa"/>
            <w:vAlign w:val="center"/>
          </w:tcPr>
          <w:p w14:paraId="058BB78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违反《天津市地名管理条例》第十三条第一款、第十九条相关规定，擅自进行地名命名、更名的，责令改正后及时改正，及时按程序申请办理地名命名或更名手续的。</w:t>
            </w:r>
          </w:p>
        </w:tc>
        <w:tc>
          <w:tcPr>
            <w:tcW w:w="4012" w:type="dxa"/>
            <w:vAlign w:val="center"/>
          </w:tcPr>
          <w:p w14:paraId="43BD95D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《天津市地名管理条例》（2018年修订）第十三条、第十九条、第三十条</w:t>
            </w:r>
            <w:r>
              <w:rPr>
                <w:rFonts w:hint="eastAsia" w:cs="仿宋_GB2312" w:asciiTheme="minorEastAsia" w:hAnsiTheme="minorEastAsia"/>
                <w:color w:val="000000" w:themeColor="text1"/>
                <w:sz w:val="24"/>
                <w:szCs w:val="24"/>
                <w14:textFill>
                  <w14:solidFill>
                    <w14:schemeClr w14:val="tx1"/>
                  </w14:solidFill>
                </w14:textFill>
              </w:rPr>
              <w:br w:type="textWrapping"/>
            </w:r>
            <w:r>
              <w:rPr>
                <w:rFonts w:hint="eastAsia" w:cs="仿宋_GB2312" w:asciiTheme="minorEastAsia" w:hAnsiTheme="minorEastAsia"/>
                <w:color w:val="000000" w:themeColor="text1"/>
                <w:sz w:val="24"/>
                <w:szCs w:val="24"/>
                <w14:textFill>
                  <w14:solidFill>
                    <w14:schemeClr w14:val="tx1"/>
                  </w14:solidFill>
                </w14:textFill>
              </w:rPr>
              <w:t>《中华人民共和国行政处罚法》第三十三条第一款</w:t>
            </w:r>
          </w:p>
        </w:tc>
      </w:tr>
      <w:tr w14:paraId="1CB1E0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14:paraId="0730CB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5</w:t>
            </w:r>
          </w:p>
        </w:tc>
        <w:tc>
          <w:tcPr>
            <w:tcW w:w="4289" w:type="dxa"/>
            <w:vAlign w:val="center"/>
          </w:tcPr>
          <w:p w14:paraId="7B5C8D7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不使用标准地名的</w:t>
            </w:r>
          </w:p>
        </w:tc>
        <w:tc>
          <w:tcPr>
            <w:tcW w:w="5199" w:type="dxa"/>
            <w:vAlign w:val="center"/>
          </w:tcPr>
          <w:p w14:paraId="63BE2AD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违反《天津市地名管理条例》第二十二条第二至五项，不使用标准地名的，责令改正后及时规范使用标准地名的。</w:t>
            </w:r>
          </w:p>
        </w:tc>
        <w:tc>
          <w:tcPr>
            <w:tcW w:w="4012" w:type="dxa"/>
            <w:vAlign w:val="center"/>
          </w:tcPr>
          <w:p w14:paraId="35F4B49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《天津市地名管理条例》（2018年修订）第二十二条 、第三十条、《中华人民共和国行政处罚法》第三十三条第一款</w:t>
            </w:r>
          </w:p>
        </w:tc>
      </w:tr>
      <w:tr w14:paraId="5E19B1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14:paraId="17D219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6</w:t>
            </w:r>
          </w:p>
        </w:tc>
        <w:tc>
          <w:tcPr>
            <w:tcW w:w="4289" w:type="dxa"/>
            <w:vAlign w:val="center"/>
          </w:tcPr>
          <w:p w14:paraId="63AEDF7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未按照规定书写、拼写、译写地名，或者未按照标准和规范制作、设置地名标志的</w:t>
            </w:r>
          </w:p>
        </w:tc>
        <w:tc>
          <w:tcPr>
            <w:tcW w:w="5199" w:type="dxa"/>
            <w:vAlign w:val="center"/>
          </w:tcPr>
          <w:p w14:paraId="3630C70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违反《天津市地名管理条例》第二十三条、二十六条，未按照规定书写、拼写、译写地名，或者未按照标准和规范制作、设置地名标志的，责令改正后及时规范地名或地名标志的。</w:t>
            </w:r>
          </w:p>
        </w:tc>
        <w:tc>
          <w:tcPr>
            <w:tcW w:w="4012" w:type="dxa"/>
            <w:vAlign w:val="center"/>
          </w:tcPr>
          <w:p w14:paraId="4D56C8C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《天津市地名管理条例》（2018年修订）第二十三条、第二十六条、第三十条、《中华人民共和国行政处罚法》第三十三条第一款</w:t>
            </w:r>
            <w:r>
              <w:rPr>
                <w:rFonts w:cs="仿宋_GB2312" w:asciiTheme="minorEastAsia" w:hAnsiTheme="minorEastAsia"/>
                <w:color w:val="000000" w:themeColor="text1"/>
                <w:sz w:val="24"/>
                <w:szCs w:val="24"/>
                <w14:textFill>
                  <w14:solidFill>
                    <w14:schemeClr w14:val="tx1"/>
                  </w14:solidFill>
                </w14:textFill>
              </w:rPr>
              <w:t xml:space="preserve"> </w:t>
            </w:r>
          </w:p>
        </w:tc>
      </w:tr>
      <w:tr w14:paraId="3D4D1B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14:paraId="19BDBB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7</w:t>
            </w:r>
          </w:p>
        </w:tc>
        <w:tc>
          <w:tcPr>
            <w:tcW w:w="4289" w:type="dxa"/>
            <w:vAlign w:val="center"/>
          </w:tcPr>
          <w:p w14:paraId="6488D18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对建设单位在工程竣工验收合格之日起15日内未办理工程竣工验收备案的处罚</w:t>
            </w:r>
          </w:p>
        </w:tc>
        <w:tc>
          <w:tcPr>
            <w:tcW w:w="5199" w:type="dxa"/>
            <w:vAlign w:val="center"/>
          </w:tcPr>
          <w:p w14:paraId="2427F3A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初次违法且危害后果轻微并及时改正</w:t>
            </w:r>
          </w:p>
        </w:tc>
        <w:tc>
          <w:tcPr>
            <w:tcW w:w="4012" w:type="dxa"/>
            <w:vAlign w:val="center"/>
          </w:tcPr>
          <w:p w14:paraId="21C476F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《行政处罚法》第三十三条第一款</w:t>
            </w:r>
          </w:p>
        </w:tc>
      </w:tr>
    </w:tbl>
    <w:p w14:paraId="14980C2F">
      <w:pPr>
        <w:keepNext w:val="0"/>
        <w:keepLines w:val="0"/>
        <w:pageBreakBefore w:val="0"/>
        <w:kinsoku/>
        <w:wordWrap/>
        <w:overflowPunct/>
        <w:topLinePunct w:val="0"/>
        <w:bidi w:val="0"/>
        <w:adjustRightInd w:val="0"/>
        <w:snapToGrid w:val="0"/>
        <w:spacing w:line="588" w:lineRule="exact"/>
        <w:jc w:val="center"/>
        <w:rPr>
          <w:rFonts w:cs="仿宋_GB2312" w:asciiTheme="minorEastAsia" w:hAnsiTheme="minorEastAsia"/>
          <w:sz w:val="24"/>
          <w:szCs w:val="24"/>
        </w:rPr>
      </w:pPr>
    </w:p>
    <w:p w14:paraId="3EEA2720">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0D744CC6">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7B7DE1D5">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0C80D280">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782E714B">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sectPr>
          <w:pgSz w:w="16838" w:h="11906" w:orient="landscape"/>
          <w:pgMar w:top="1587" w:right="1984" w:bottom="1474" w:left="1984" w:header="851" w:footer="992" w:gutter="0"/>
          <w:pgNumType w:fmt="numberInDash"/>
          <w:cols w:space="0" w:num="1"/>
          <w:rtlGutter w:val="0"/>
          <w:docGrid w:type="lines" w:linePitch="315" w:charSpace="0"/>
        </w:sectPr>
      </w:pPr>
    </w:p>
    <w:p w14:paraId="511C8F05">
      <w:pPr>
        <w:pStyle w:val="2"/>
      </w:pPr>
    </w:p>
    <w:tbl>
      <w:tblPr>
        <w:tblStyle w:val="10"/>
        <w:tblW w:w="14430" w:type="dxa"/>
        <w:tblInd w:w="-672" w:type="dxa"/>
        <w:tblLayout w:type="fixed"/>
        <w:tblCellMar>
          <w:top w:w="0" w:type="dxa"/>
          <w:left w:w="108" w:type="dxa"/>
          <w:bottom w:w="0" w:type="dxa"/>
          <w:right w:w="108" w:type="dxa"/>
        </w:tblCellMar>
      </w:tblPr>
      <w:tblGrid>
        <w:gridCol w:w="940"/>
        <w:gridCol w:w="4305"/>
        <w:gridCol w:w="5168"/>
        <w:gridCol w:w="4017"/>
      </w:tblGrid>
      <w:tr w14:paraId="2FF41C55">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5C452A">
            <w:pPr>
              <w:keepNext w:val="0"/>
              <w:keepLines w:val="0"/>
              <w:pageBreakBefore w:val="0"/>
              <w:kinsoku/>
              <w:wordWrap/>
              <w:overflowPunct/>
              <w:topLinePunct w:val="0"/>
              <w:bidi w:val="0"/>
              <w:spacing w:line="588" w:lineRule="exact"/>
              <w:jc w:val="center"/>
              <w:textAlignment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城市管理执法领域</w:t>
            </w:r>
          </w:p>
        </w:tc>
      </w:tr>
      <w:tr w14:paraId="58A2F0EA">
        <w:tblPrEx>
          <w:tblCellMar>
            <w:top w:w="0" w:type="dxa"/>
            <w:left w:w="108" w:type="dxa"/>
            <w:bottom w:w="0" w:type="dxa"/>
            <w:right w:w="108" w:type="dxa"/>
          </w:tblCellMar>
        </w:tblPrEx>
        <w:trPr>
          <w:trHeight w:val="74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8A3F4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不予处罚清单</w:t>
            </w:r>
          </w:p>
        </w:tc>
      </w:tr>
      <w:tr w14:paraId="1216689C">
        <w:tblPrEx>
          <w:tblCellMar>
            <w:top w:w="0" w:type="dxa"/>
            <w:left w:w="108" w:type="dxa"/>
            <w:bottom w:w="0" w:type="dxa"/>
            <w:right w:w="108" w:type="dxa"/>
          </w:tblCellMar>
        </w:tblPrEx>
        <w:trPr>
          <w:trHeight w:val="8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02E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A96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9F8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1CC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不予处罚的依据</w:t>
            </w:r>
          </w:p>
        </w:tc>
      </w:tr>
      <w:tr w14:paraId="59CA8C06">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40A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AA6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对违法饲养禽畜；饲养信鸽影响市容和环境卫生的行为进行处罚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5774">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按期改正的,或者进行违法行为时年龄尚不满十四周岁的，违法行为轻微没有造成危害后果并及时改正的，初次违法且危害后果轻微并及时改正的以及其他按照《行政处罚法》的规定应当不予处罚的情形。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A68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0E1EFCBB">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1A5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AD3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对不携带养犬清洁用品；不及时清除犬排泄物的行为进行处罚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1FBA">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经教育自行改正的，或者进行违法行为时年龄尚不满十四周岁的，违法行为轻微没有造成危害后果并及时改正的，初次违法且危害后果轻微并及时改正的以及其他按照《行政处罚法》的规定应当不予处罚的情形。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6D4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63AF1A2A">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988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4D2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对施肥、移种花草、松土、除草、浇水致使道路受到污染的行为进行处罚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0F14">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按期改正的,或者进行违法行为时年龄尚不满十四周岁的，违法行为轻微没有造成危害后果并及时改正的，初次违法且危害后果轻微并及时改正的以及其他按照《行政处罚法》的规定应当不予处罚的情形。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AB5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48EF580A">
        <w:tblPrEx>
          <w:tblCellMar>
            <w:top w:w="0" w:type="dxa"/>
            <w:left w:w="108" w:type="dxa"/>
            <w:bottom w:w="0" w:type="dxa"/>
            <w:right w:w="108" w:type="dxa"/>
          </w:tblCellMar>
        </w:tblPrEx>
        <w:trPr>
          <w:trHeight w:val="558"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7E5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10C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对未将生活垃圾分类投放至相应收集容器的行为进行处罚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0E24">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经教育后改正的,或者进行违法行为时年龄尚不满十四周岁的，违法行为轻微没有造成危害后果并及时改正的，初次违法且危害后果轻微并及时改正的以及其他按照《行政处罚法》的规定应当不予处罚的情形。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FC0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《天津市生活垃圾管理条例》第六十五条</w:t>
            </w:r>
          </w:p>
        </w:tc>
      </w:tr>
      <w:tr w14:paraId="02BB95B3">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7AF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768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对不履行分类和袋装收集废弃物义务的行为进行处罚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3D10">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按期改正的,或者进行违法行为时年龄尚不满十四周岁的，违法行为轻微没有造成危害后果并及时改正的，初次违法且危害后果轻微并及时改正的以及其他按照《行政处罚法》的规定应当不予处罚的情形。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280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346A159A">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1EB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13E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对在临街建筑物非指定地方安装空调的行为进行处罚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CC56">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按期改正的,或者进行违法行为时年龄尚不满十四周岁的，违法行为轻微没有造成危害后果并及时改正的，初次违法且危害后果轻微并及时改正的以及其他按照《行政处罚法》的规定应当不予处罚的情形。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9DA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03741CAC">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A27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D54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对夜景灯光照明设施功能不完好；擅自改变、移动、拆除夜景灯光照明设施；未按规定时间启闭夜景灯光的行为进行处罚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3911">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按期改正的,或者进行违法行为时年龄尚不满十四周岁的，违法行为轻微没有造成危害后果并及时改正的，初次违法且危害后果轻微并及时改正的以及其他按照《行政处罚法》的规定应当不予处罚的情形。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6D3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27B01213">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6CF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A9D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对经营性户外广告设施未按要求发布公益性广告的行为进行处罚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48E3">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按期改正的,或者进行违法行为时年龄尚不满十四周岁的，违法行为轻微没有造成危害后果并及时改正的，初次违法且危害后果轻微并及时改正的以及其他按照《行政处罚法》的规定应当不予处罚的情形。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5B3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1D78E943">
        <w:tblPrEx>
          <w:tblCellMar>
            <w:top w:w="0" w:type="dxa"/>
            <w:left w:w="108" w:type="dxa"/>
            <w:bottom w:w="0" w:type="dxa"/>
            <w:right w:w="108" w:type="dxa"/>
          </w:tblCellMar>
        </w:tblPrEx>
        <w:trPr>
          <w:trHeight w:val="1266"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FF6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9</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52C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擅自占用道路和公共场所从事摆卖、生产、加工、修配、机动车清洗和餐饮等经营活动</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5D0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轻微违法行为及时纠正，没有造成危害后果的且首次被发现，责令限期改正后及时改正的。</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8D9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316FCCA9">
        <w:tblPrEx>
          <w:tblCellMar>
            <w:top w:w="0" w:type="dxa"/>
            <w:left w:w="108" w:type="dxa"/>
            <w:bottom w:w="0" w:type="dxa"/>
            <w:right w:w="108" w:type="dxa"/>
          </w:tblCellMar>
        </w:tblPrEx>
        <w:trPr>
          <w:trHeight w:val="416"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344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721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广告设施所有者未养护、维护户外广告设施，未保持设施的安全、整洁和完好</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C1D8">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轻微违法行为及时纠正，没有造成危害后果的且首次被发现，责令限期改正后及时改正的。</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C1B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7310F627">
        <w:tblPrEx>
          <w:tblCellMar>
            <w:top w:w="0" w:type="dxa"/>
            <w:left w:w="108" w:type="dxa"/>
            <w:bottom w:w="0" w:type="dxa"/>
            <w:right w:w="108" w:type="dxa"/>
          </w:tblCellMar>
        </w:tblPrEx>
        <w:trPr>
          <w:trHeight w:val="1028"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566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FE2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未经许可擅自占用城市绿化用地或者临时占用期满未按规定进行恢复</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2C94">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轻微违法行为及时纠正，没有造成危害后果的且首次被发现，责令限期改正后及时改正的。</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069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18363A4A">
        <w:tblPrEx>
          <w:tblCellMar>
            <w:top w:w="0" w:type="dxa"/>
            <w:left w:w="108" w:type="dxa"/>
            <w:bottom w:w="0" w:type="dxa"/>
            <w:right w:w="108" w:type="dxa"/>
          </w:tblCellMar>
        </w:tblPrEx>
        <w:trPr>
          <w:trHeight w:val="986"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8EE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12</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BFC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未经批准改变占路用途或者移动位置、扩大面积、延长时间</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095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轻微违法行为及时纠正，没有造成危害后果的且首次被发现，责令限期改正后及时改正的。</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D06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5EF7FE65">
        <w:tblPrEx>
          <w:tblCellMar>
            <w:top w:w="0" w:type="dxa"/>
            <w:left w:w="108" w:type="dxa"/>
            <w:bottom w:w="0" w:type="dxa"/>
            <w:right w:w="108" w:type="dxa"/>
          </w:tblCellMar>
        </w:tblPrEx>
        <w:trPr>
          <w:trHeight w:val="2261"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961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13</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131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在需进行综合整修的街道两侧的建筑物、构筑物上，未按要求对原设置的各类标志、设施进行修复、更新或拆除的；未经许可在综合整修后的街道及沿街两侧建筑物上设置各类标志和设施的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9D80">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轻微违法行为及时纠正，没有造成危害后果的且首次被发现，责令限期改正后及时改正的。</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77B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《天津市城镇街道综合整修管理规定》第十二条 </w:t>
            </w:r>
          </w:p>
        </w:tc>
      </w:tr>
      <w:tr w14:paraId="5C5BA55A">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554E8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减轻处罚事项清单</w:t>
            </w:r>
          </w:p>
        </w:tc>
      </w:tr>
      <w:tr w14:paraId="3EF69844">
        <w:tblPrEx>
          <w:tblCellMar>
            <w:top w:w="0" w:type="dxa"/>
            <w:left w:w="108" w:type="dxa"/>
            <w:bottom w:w="0" w:type="dxa"/>
            <w:right w:w="108" w:type="dxa"/>
          </w:tblCellMar>
        </w:tblPrEx>
        <w:trPr>
          <w:trHeight w:val="8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ADB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1F9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FF8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602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减轻处罚的依据</w:t>
            </w:r>
          </w:p>
        </w:tc>
      </w:tr>
      <w:tr w14:paraId="65ECA623">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495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F5B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对未将生活垃圾分类投放至相应收集容器的行为进行处罚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67AE">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依据前款规定应当受到罚款处罚的个人，自愿参加与生活垃圾分类相关社区服务活动的，或者主动供述行政机关尚未掌握的违法行为的以及法律、法规、规章规定其他应当减轻处罚的情形。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C1D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《天津市生活垃圾管理条例》第六十五条</w:t>
            </w:r>
          </w:p>
        </w:tc>
      </w:tr>
      <w:tr w14:paraId="51A6B7C8">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2C226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从轻处罚事项清单</w:t>
            </w:r>
          </w:p>
        </w:tc>
      </w:tr>
      <w:tr w14:paraId="0578F03A">
        <w:tblPrEx>
          <w:tblCellMar>
            <w:top w:w="0" w:type="dxa"/>
            <w:left w:w="108" w:type="dxa"/>
            <w:bottom w:w="0" w:type="dxa"/>
            <w:right w:w="108" w:type="dxa"/>
          </w:tblCellMar>
        </w:tblPrEx>
        <w:trPr>
          <w:trHeight w:val="8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E15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79D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FEA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662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从轻处罚的依据</w:t>
            </w:r>
          </w:p>
        </w:tc>
      </w:tr>
      <w:tr w14:paraId="7D768120">
        <w:tblPrEx>
          <w:tblCellMar>
            <w:top w:w="0" w:type="dxa"/>
            <w:left w:w="108" w:type="dxa"/>
            <w:bottom w:w="0" w:type="dxa"/>
            <w:right w:w="108" w:type="dxa"/>
          </w:tblCellMar>
        </w:tblPrEx>
        <w:trPr>
          <w:trHeight w:val="139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CE4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E4A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对未取得建设工程规划许可证进行建设的行为进行处罚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4DD3">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规定期限内采取改正措施消除对规划实施影响的，主动供述行政机关尚未掌握的违法行为的，配合行政机关查处违法行为有立功表现的。</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E94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r w14:paraId="330AA36D">
        <w:tblPrEx>
          <w:tblCellMar>
            <w:top w:w="0" w:type="dxa"/>
            <w:left w:w="108" w:type="dxa"/>
            <w:bottom w:w="0" w:type="dxa"/>
            <w:right w:w="108" w:type="dxa"/>
          </w:tblCellMar>
        </w:tblPrEx>
        <w:trPr>
          <w:trHeight w:val="1117"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8A9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EE6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对未按照规定时间免费开放的行为进行处罚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E9D8">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按期改正的，初次违法且危害后果轻微并及时改正的以及其他按照《行政处罚法》的规定应当从轻处罚的情形。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230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bl>
    <w:p w14:paraId="29F5EA60">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6474BC09">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sectPr>
          <w:pgSz w:w="16838" w:h="11906" w:orient="landscape"/>
          <w:pgMar w:top="1587" w:right="1984" w:bottom="1474" w:left="1984" w:header="851" w:footer="992" w:gutter="0"/>
          <w:pgNumType w:fmt="numberInDash"/>
          <w:cols w:space="0" w:num="1"/>
          <w:rtlGutter w:val="0"/>
          <w:docGrid w:type="lines" w:linePitch="315" w:charSpace="0"/>
        </w:sectPr>
      </w:pPr>
    </w:p>
    <w:p w14:paraId="0321D13F">
      <w:pPr>
        <w:pStyle w:val="2"/>
      </w:pPr>
    </w:p>
    <w:tbl>
      <w:tblPr>
        <w:tblStyle w:val="10"/>
        <w:tblW w:w="14415" w:type="dxa"/>
        <w:tblInd w:w="-672" w:type="dxa"/>
        <w:tblLayout w:type="fixed"/>
        <w:tblCellMar>
          <w:top w:w="0" w:type="dxa"/>
          <w:left w:w="108" w:type="dxa"/>
          <w:bottom w:w="0" w:type="dxa"/>
          <w:right w:w="108" w:type="dxa"/>
        </w:tblCellMar>
      </w:tblPr>
      <w:tblGrid>
        <w:gridCol w:w="955"/>
        <w:gridCol w:w="4320"/>
        <w:gridCol w:w="5138"/>
        <w:gridCol w:w="4002"/>
      </w:tblGrid>
      <w:tr w14:paraId="66635095">
        <w:tblPrEx>
          <w:tblCellMar>
            <w:top w:w="0" w:type="dxa"/>
            <w:left w:w="108" w:type="dxa"/>
            <w:bottom w:w="0" w:type="dxa"/>
            <w:right w:w="108" w:type="dxa"/>
          </w:tblCellMar>
        </w:tblPrEx>
        <w:trPr>
          <w:trHeight w:val="700" w:hRule="atLeast"/>
        </w:trPr>
        <w:tc>
          <w:tcPr>
            <w:tcW w:w="1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7AF031">
            <w:pPr>
              <w:keepNext w:val="0"/>
              <w:keepLines w:val="0"/>
              <w:pageBreakBefore w:val="0"/>
              <w:kinsoku/>
              <w:wordWrap/>
              <w:overflowPunct/>
              <w:topLinePunct w:val="0"/>
              <w:bidi w:val="0"/>
              <w:spacing w:line="588" w:lineRule="exact"/>
              <w:jc w:val="center"/>
              <w:textAlignment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教育执法领域</w:t>
            </w:r>
          </w:p>
        </w:tc>
      </w:tr>
      <w:tr w14:paraId="34F80298">
        <w:tblPrEx>
          <w:tblCellMar>
            <w:top w:w="0" w:type="dxa"/>
            <w:left w:w="108" w:type="dxa"/>
            <w:bottom w:w="0" w:type="dxa"/>
            <w:right w:w="108" w:type="dxa"/>
          </w:tblCellMar>
        </w:tblPrEx>
        <w:trPr>
          <w:trHeight w:val="700" w:hRule="atLeast"/>
        </w:trPr>
        <w:tc>
          <w:tcPr>
            <w:tcW w:w="1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BC2A1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不予处罚清单</w:t>
            </w:r>
          </w:p>
        </w:tc>
      </w:tr>
      <w:tr w14:paraId="419719CA">
        <w:tblPrEx>
          <w:tblCellMar>
            <w:top w:w="0" w:type="dxa"/>
            <w:left w:w="108" w:type="dxa"/>
            <w:bottom w:w="0" w:type="dxa"/>
            <w:right w:w="108" w:type="dxa"/>
          </w:tblCellMar>
        </w:tblPrEx>
        <w:trPr>
          <w:trHeight w:val="8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355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311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DF1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0E0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不予处罚的依据</w:t>
            </w:r>
          </w:p>
        </w:tc>
      </w:tr>
      <w:tr w14:paraId="5B11C9E9">
        <w:tblPrEx>
          <w:tblCellMar>
            <w:top w:w="0" w:type="dxa"/>
            <w:left w:w="108" w:type="dxa"/>
            <w:bottom w:w="0" w:type="dxa"/>
            <w:right w:w="108" w:type="dxa"/>
          </w:tblCellMar>
        </w:tblPrEx>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6FF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DEA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对学校和教育机构违法颁发学历证书、学位证书或其他学业证书的处罚</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B58E">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1.违法行为情节轻微，且已经改正的，尚未造成危害后果，依法可以不予行政处罚的；2.除法律另有规定的外，违法行为在两年内未被发现的；3.证据不足，违法事实不能成立的；4.其他依法不予行政处罚的。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416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668A0E69">
        <w:tblPrEx>
          <w:tblCellMar>
            <w:top w:w="0" w:type="dxa"/>
            <w:left w:w="108" w:type="dxa"/>
            <w:bottom w:w="0" w:type="dxa"/>
            <w:right w:w="108" w:type="dxa"/>
          </w:tblCellMar>
        </w:tblPrEx>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D6D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581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民办学校出资人违反法规获取回报的处罚</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CF7E">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1.违法行为情节轻微，且已经纠正的，尚未造成危害后果，依法可以不予行政处罚的；2.除法律另有规定的外，违法行为在两年内未被发现的；3.证据不足，违法事实不能成立的；4.其他依法不予行政处罚的。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085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2B9C44B1">
        <w:tblPrEx>
          <w:tblCellMar>
            <w:top w:w="0" w:type="dxa"/>
            <w:left w:w="108" w:type="dxa"/>
            <w:bottom w:w="0" w:type="dxa"/>
            <w:right w:w="108" w:type="dxa"/>
          </w:tblCellMar>
        </w:tblPrEx>
        <w:trPr>
          <w:trHeight w:val="168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9EC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CE3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学校及其他教育机构禁止吸烟场所未按规定设置禁烟标识或违反规定设置吸烟器具的处罚</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B40D">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1.违法行为情节轻微，且已经纠正的，尚未造成危害后果，依法可以不予行政处罚的；2.除法律另有规定的外，违法行为在两年内未被发现的；3.证据不足，违法事实不能成立的；4.其他依法不予行政处罚的。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621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52FD9117">
        <w:tblPrEx>
          <w:tblCellMar>
            <w:top w:w="0" w:type="dxa"/>
            <w:left w:w="108" w:type="dxa"/>
            <w:bottom w:w="0" w:type="dxa"/>
            <w:right w:w="108" w:type="dxa"/>
          </w:tblCellMar>
        </w:tblPrEx>
        <w:trPr>
          <w:trHeight w:val="700" w:hRule="atLeast"/>
        </w:trPr>
        <w:tc>
          <w:tcPr>
            <w:tcW w:w="1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4DAE1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减轻处罚事项清单</w:t>
            </w:r>
          </w:p>
        </w:tc>
      </w:tr>
      <w:tr w14:paraId="5A9D8ADB">
        <w:tblPrEx>
          <w:tblCellMar>
            <w:top w:w="0" w:type="dxa"/>
            <w:left w:w="108" w:type="dxa"/>
            <w:bottom w:w="0" w:type="dxa"/>
            <w:right w:w="108" w:type="dxa"/>
          </w:tblCellMar>
        </w:tblPrEx>
        <w:trPr>
          <w:trHeight w:val="8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026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1A0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A82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911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减轻处罚的依据</w:t>
            </w:r>
          </w:p>
        </w:tc>
      </w:tr>
      <w:tr w14:paraId="12D974D9">
        <w:tblPrEx>
          <w:tblCellMar>
            <w:top w:w="0" w:type="dxa"/>
            <w:left w:w="108" w:type="dxa"/>
            <w:bottom w:w="0" w:type="dxa"/>
            <w:right w:w="108" w:type="dxa"/>
          </w:tblCellMar>
        </w:tblPrEx>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1C4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F01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民办学校管理混乱严重影响教育教学的处罚</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7CD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1.主动消除或者减轻违法行为危害后果的；2.受他人胁迫或诱骗实施违法行为的；3.配合教育行政部门查处违法行为有立功表现的；4.其他依法从轻行政处罚的。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69D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r w14:paraId="61200D67">
        <w:tblPrEx>
          <w:tblCellMar>
            <w:top w:w="0" w:type="dxa"/>
            <w:left w:w="108" w:type="dxa"/>
            <w:bottom w:w="0" w:type="dxa"/>
            <w:right w:w="108" w:type="dxa"/>
          </w:tblCellMar>
        </w:tblPrEx>
        <w:trPr>
          <w:trHeight w:val="700" w:hRule="atLeast"/>
        </w:trPr>
        <w:tc>
          <w:tcPr>
            <w:tcW w:w="1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D7E6A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从轻处罚事项清单</w:t>
            </w:r>
          </w:p>
        </w:tc>
      </w:tr>
      <w:tr w14:paraId="34E026A0">
        <w:tblPrEx>
          <w:tblCellMar>
            <w:top w:w="0" w:type="dxa"/>
            <w:left w:w="108" w:type="dxa"/>
            <w:bottom w:w="0" w:type="dxa"/>
            <w:right w:w="108" w:type="dxa"/>
          </w:tblCellMar>
        </w:tblPrEx>
        <w:trPr>
          <w:trHeight w:val="8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19F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C99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D75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401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从轻处罚的依据</w:t>
            </w:r>
          </w:p>
        </w:tc>
      </w:tr>
      <w:tr w14:paraId="24FA4ACB">
        <w:tblPrEx>
          <w:tblCellMar>
            <w:top w:w="0" w:type="dxa"/>
            <w:left w:w="108" w:type="dxa"/>
            <w:bottom w:w="0" w:type="dxa"/>
            <w:right w:w="108" w:type="dxa"/>
          </w:tblCellMar>
        </w:tblPrEx>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C8A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725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对违反国家规定举办学校和其他教育机构的处罚</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620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1.主动消除或者减轻违法行为危害后果的；2.受他人胁迫或诱骗实施违法行为的；3.配合教育行政部门查处违法行为有立功表现的；4.其他依法从轻行政处罚的。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31A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r w14:paraId="3663FD08">
        <w:tblPrEx>
          <w:tblCellMar>
            <w:top w:w="0" w:type="dxa"/>
            <w:left w:w="108" w:type="dxa"/>
            <w:bottom w:w="0" w:type="dxa"/>
            <w:right w:w="108" w:type="dxa"/>
          </w:tblCellMar>
        </w:tblPrEx>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C6F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2A4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学校违反国家有关规定招收学生的处罚</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5EFD">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1.主动消除或者减轻违法行为危害后果的；2.受他人胁迫或诱骗实施违法行为的；3.配合教育行政部门查处违法行为有立功表现的；4.其他依法从轻行政处罚的。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CD5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bl>
    <w:p w14:paraId="00285504">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sectPr>
          <w:pgSz w:w="16838" w:h="11906" w:orient="landscape"/>
          <w:pgMar w:top="1587" w:right="1984" w:bottom="1474" w:left="1984" w:header="851" w:footer="992" w:gutter="0"/>
          <w:pgNumType w:fmt="numberInDash"/>
          <w:cols w:space="0" w:num="1"/>
          <w:rtlGutter w:val="0"/>
          <w:docGrid w:type="lines" w:linePitch="315" w:charSpace="0"/>
        </w:sectPr>
      </w:pPr>
    </w:p>
    <w:p w14:paraId="3528F9FB">
      <w:pPr>
        <w:pStyle w:val="2"/>
      </w:pPr>
    </w:p>
    <w:tbl>
      <w:tblPr>
        <w:tblStyle w:val="10"/>
        <w:tblW w:w="14430" w:type="dxa"/>
        <w:tblInd w:w="-687" w:type="dxa"/>
        <w:tblLayout w:type="fixed"/>
        <w:tblCellMar>
          <w:top w:w="0" w:type="dxa"/>
          <w:left w:w="108" w:type="dxa"/>
          <w:bottom w:w="0" w:type="dxa"/>
          <w:right w:w="108" w:type="dxa"/>
        </w:tblCellMar>
      </w:tblPr>
      <w:tblGrid>
        <w:gridCol w:w="970"/>
        <w:gridCol w:w="4305"/>
        <w:gridCol w:w="5153"/>
        <w:gridCol w:w="4002"/>
      </w:tblGrid>
      <w:tr w14:paraId="7B2B86D9">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1BC488">
            <w:pPr>
              <w:keepNext w:val="0"/>
              <w:keepLines w:val="0"/>
              <w:pageBreakBefore w:val="0"/>
              <w:kinsoku/>
              <w:wordWrap/>
              <w:overflowPunct/>
              <w:topLinePunct w:val="0"/>
              <w:bidi w:val="0"/>
              <w:spacing w:line="588" w:lineRule="exact"/>
              <w:jc w:val="center"/>
              <w:textAlignment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民政执法领域</w:t>
            </w:r>
          </w:p>
        </w:tc>
      </w:tr>
      <w:tr w14:paraId="4F3FDE7A">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A7368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不予处罚清单</w:t>
            </w:r>
          </w:p>
        </w:tc>
      </w:tr>
      <w:tr w14:paraId="21A0B633">
        <w:tblPrEx>
          <w:tblCellMar>
            <w:top w:w="0" w:type="dxa"/>
            <w:left w:w="108" w:type="dxa"/>
            <w:bottom w:w="0" w:type="dxa"/>
            <w:right w:w="108" w:type="dxa"/>
          </w:tblCellMar>
        </w:tblPrEx>
        <w:trPr>
          <w:trHeight w:val="8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B01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16B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760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CC3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不予处罚的依据</w:t>
            </w:r>
          </w:p>
        </w:tc>
      </w:tr>
      <w:tr w14:paraId="73D3BDE0">
        <w:tblPrEx>
          <w:tblCellMar>
            <w:top w:w="0" w:type="dxa"/>
            <w:left w:w="108" w:type="dxa"/>
            <w:bottom w:w="0" w:type="dxa"/>
            <w:right w:w="108" w:type="dxa"/>
          </w:tblCellMar>
        </w:tblPrEx>
        <w:trPr>
          <w:trHeight w:val="225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8E4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8B8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社会团体涂改、出租、出借《社会团体法人登记证书》，或者出租、出借社会团体印章的，超出章程规定的宗旨和业务范围进行活动，拒不接受或者不按照规定接受监督检查，不按照规定办理变更登记，违反规定设立分支机构、代表机构，对分支机构、代表机构疏于管理造成严重后果，从事营利性的经营活动，侵占、私分、挪用社会团体资产或者所接受的捐赠、资助，违反国家有关规定收取费用、筹集资金或者接受、使用捐赠、资助等情形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589D">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涂改、出租、出借《社会团体法人登记证书》，或者出租、出借社会团体印章的，超出章程规定的宗旨和业务范围进行活动，不按照规定办理变更登记，从事营利性的经营活动，侵占、私分、挪用社会团体资产或者所接受的捐赠、资助，违反国家有关规定收取费用、筹集资金或者接受、使用捐赠、资助等行为在二年内未被发现的情形。法律另有规定的除外。有其他法律规定不予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1E8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《行政处罚法》第三十六条、《社会团体登记管理条例》第三十条</w:t>
            </w:r>
          </w:p>
        </w:tc>
      </w:tr>
      <w:tr w14:paraId="0E4345B6">
        <w:tblPrEx>
          <w:tblCellMar>
            <w:top w:w="0" w:type="dxa"/>
            <w:left w:w="108" w:type="dxa"/>
            <w:bottom w:w="0" w:type="dxa"/>
            <w:right w:w="108" w:type="dxa"/>
          </w:tblCellMar>
        </w:tblPrEx>
        <w:trPr>
          <w:trHeight w:val="225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AA8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EDE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民办非企业单位涂改、出租、出借民办非企业单位登记证书，或者出租、出借民办非企业单位印章，超出其章程规定的宗旨和业务范围进行活动，拒不接受或者不按照规定接受监督检查，不按照规定办理变更登记的，设立分支机构，从事营利性的经营活动，侵占、私分、挪用民办非企业单位的资产或者所接受的捐赠、资助，违反国家有关规定收取费用、筹集资金或者接受使用捐赠、资助等情形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2FF9">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1.对民办非企业单位涂改、出租、出借民办非企业单位登记证书，或者出租、出借民办非企业单位印章，超出其章程规定的宗旨和业务范围进行活动， 不按照规定办理变更登记的， 设立分支机构，从事营利性的经营活动，侵占、私分、挪用民办非企业单位的资产或者所接受的捐赠、资助，违反国家有关规定收取费用、筹集资金或者接受使用捐赠、资助等行为在二年内未被发现的情形。法律另有规定的除外。</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2.有其他法律规定不予处罚的情形。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768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《行政处罚法》第三十六 条、《社会团体登记管理条例》第三十条</w:t>
            </w:r>
          </w:p>
        </w:tc>
      </w:tr>
      <w:tr w14:paraId="26952338">
        <w:tblPrEx>
          <w:tblCellMar>
            <w:top w:w="0" w:type="dxa"/>
            <w:left w:w="108" w:type="dxa"/>
            <w:bottom w:w="0" w:type="dxa"/>
            <w:right w:w="108" w:type="dxa"/>
          </w:tblCellMar>
        </w:tblPrEx>
        <w:trPr>
          <w:trHeight w:val="274"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E16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F0F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对慈善组织未按照慈善宗旨开展活动，私分、挪用、截留或者侵占慈善财产，接受附加违反法律法规或者违背社会公德条件的捐赠，或者对受益人附加违反法律法规或者违背社会公德的条件的处罚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A33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慈善组织超出其章程规定的宗旨进行活动，情节较轻，影响较小的。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C7D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 条、《中华人民共和国慈善法》第九十八条</w:t>
            </w:r>
          </w:p>
        </w:tc>
      </w:tr>
      <w:tr w14:paraId="6995143D">
        <w:tblPrEx>
          <w:tblCellMar>
            <w:top w:w="0" w:type="dxa"/>
            <w:left w:w="108" w:type="dxa"/>
            <w:bottom w:w="0" w:type="dxa"/>
            <w:right w:w="108" w:type="dxa"/>
          </w:tblCellMar>
        </w:tblPrEx>
        <w:trPr>
          <w:trHeight w:val="274"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7B8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39A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慈善组织违反《中华人民共和国慈善法》第十四条规定造成慈善财产损失，将不得用于投资的财产用于投资，擅自改变捐赠财产用途，开展慈善活动的年度支出或者管理费用的标准违反《中华人民共和国慈善法》第六十条规定，未依法履行信息公开义务，未依法报送年度工作报告、财务会计报告或者报备募捐方案，泄露捐赠人、志愿者、受益人个人隐私以及捐赠人、慈善信托的委托人不同意公开的姓名、名称、住所、通讯方式等信息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8734">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反本法第十四条规定造成慈善财产损失较小的；将不得用于投资的财产用于投资，数额较小的；开展慈善活动的年度支出或者管理费用的标准违反本法第六十条规定，数额较小的；未依法履行信息公开义务，情节较轻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8A2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《行政处罚法》第三十二条、《中华人民共和国慈善法》第 九十八条、《中华人民共和国慈善法》第十四条</w:t>
            </w:r>
          </w:p>
        </w:tc>
      </w:tr>
      <w:tr w14:paraId="63EA452B">
        <w:tblPrEx>
          <w:tblCellMar>
            <w:top w:w="0" w:type="dxa"/>
            <w:left w:w="108" w:type="dxa"/>
            <w:bottom w:w="0" w:type="dxa"/>
            <w:right w:w="108" w:type="dxa"/>
          </w:tblCellMar>
        </w:tblPrEx>
        <w:trPr>
          <w:trHeight w:val="72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DE238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减轻处罚事项清单</w:t>
            </w:r>
          </w:p>
        </w:tc>
      </w:tr>
      <w:tr w14:paraId="6359CC8B">
        <w:tblPrEx>
          <w:tblCellMar>
            <w:top w:w="0" w:type="dxa"/>
            <w:left w:w="108" w:type="dxa"/>
            <w:bottom w:w="0" w:type="dxa"/>
            <w:right w:w="108" w:type="dxa"/>
          </w:tblCellMar>
        </w:tblPrEx>
        <w:trPr>
          <w:trHeight w:val="8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C17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F8D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63E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88A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减轻处罚的依据</w:t>
            </w:r>
          </w:p>
        </w:tc>
      </w:tr>
      <w:tr w14:paraId="4CF6BC0F">
        <w:tblPrEx>
          <w:tblCellMar>
            <w:top w:w="0" w:type="dxa"/>
            <w:left w:w="108" w:type="dxa"/>
            <w:bottom w:w="0" w:type="dxa"/>
            <w:right w:w="108" w:type="dxa"/>
          </w:tblCellMar>
        </w:tblPrEx>
        <w:trPr>
          <w:trHeight w:val="274"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0BD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DC8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社会团体涂改、出租、出借《社会团体法人登记证书》，或者出租、出借社会团体印章的，超出章程规定的宗旨和业务范围进行活动，拒不接受或者不按照规定接受监督检查，不按照规定办理变更登记，违反规定设立分支机构、代表机构，对分支机构、代表机构疏于管理造成严重后果，从事营利性的经营活动，侵占、私分、挪用社会团体资产或者所接受的捐赠、资助，违反国家有关规定收取费用、筹集资金或者接受、使用捐赠、资助等情形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B21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主动消除或者减轻涂改、出租、出借《社会团体法人登记证书》，或者出租、出借社会团体印章的，超出章程规定的宗旨和业务范围进行活动，不按照规定办理变更登记，从事营利性的经营活动，侵占、私分、挪用社会团体资产或者所接受的捐赠、资助，违反国家有关规定收取费用、筹集资金或者接受、使用捐赠、资助等违法行为危害后果，受他人胁迫，配合行政机关查处违法行为有立功表现和其他依法从轻或者减轻行政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564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 条、《社会团体登记管理条例》第三十条</w:t>
            </w:r>
          </w:p>
        </w:tc>
      </w:tr>
      <w:tr w14:paraId="191869A7">
        <w:tblPrEx>
          <w:tblCellMar>
            <w:top w:w="0" w:type="dxa"/>
            <w:left w:w="108" w:type="dxa"/>
            <w:bottom w:w="0" w:type="dxa"/>
            <w:right w:w="108" w:type="dxa"/>
          </w:tblCellMar>
        </w:tblPrEx>
        <w:trPr>
          <w:trHeight w:val="2258"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289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B60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民办非企业单位涂改、出租、出借民办非企业单位登记证书，或者出租、出借民办非企业单位印章，超出其章程规定的宗旨和业务范围进行活动，拒不接受或者不按照规定接受监督检查，不按照规定办理变更登记的，设立分支机构，从事营利性的经营活动，侵占、私分、挪用民办非企业单位的资产或者所接受的捐赠、资助，违反国家有关规定收取费用、筹集资金或者接受使用捐赠、资助等情形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EEDB">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主动消除或者减轻民办非企业单位涂改、出租、出借民办非企业单位登记证书，或者出租、出借民办非企业单位印章，超出其章程规定的宗旨和业务范围进行活动，不按照规定办理变更登记的，设立分支机构，从事营利性的经营活动，侵占、私分、挪用民办非企业单位的资产或者所接受的捐赠、资助，违反国家有关规定收取费用、筹集资金或者接受使用捐赠、资助等违法行为危害后果，受他人胁迫，配合行政机关查处违法行为有立功表现和其他依法从轻或者减轻行政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15D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 条、《民办非企业单位登记、管理暂行条例》第二十五条</w:t>
            </w:r>
          </w:p>
        </w:tc>
      </w:tr>
      <w:tr w14:paraId="57C258B3">
        <w:tblPrEx>
          <w:tblCellMar>
            <w:top w:w="0" w:type="dxa"/>
            <w:left w:w="108" w:type="dxa"/>
            <w:bottom w:w="0" w:type="dxa"/>
            <w:right w:w="108" w:type="dxa"/>
          </w:tblCellMar>
        </w:tblPrEx>
        <w:trPr>
          <w:trHeight w:val="284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2EA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C4D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对慈善组织未按照慈善宗旨开展活动，私分、挪用、截留或者侵占慈善财产，接受附加违反法律法规或者违背社会公德条件的捐赠，或者对受益人附加违反法律法规或者违背社会公德的条件的处罚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83AD">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接受附加违反法律法规或者违背社会公德条件的捐赠，或者对受益人附加违反法律法规或者违背社会公德的条件情节较轻的；《中华人民共和国慈善法》第一百条“慈善组织有本法第九十八条、第九十九条规定的情形，有违法所得数额较小的。</w:t>
            </w:r>
            <w:r>
              <w:rPr>
                <w:rFonts w:hint="eastAsia" w:ascii="宋体" w:hAnsi="宋体" w:cs="宋体"/>
                <w:color w:val="000000"/>
                <w:sz w:val="24"/>
                <w:szCs w:val="24"/>
                <w:lang w:eastAsia="zh-CN"/>
              </w:rPr>
              <w:t>”</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609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 条、《中华人民共和国慈善法》第九十八条</w:t>
            </w:r>
          </w:p>
        </w:tc>
      </w:tr>
      <w:tr w14:paraId="4806A206">
        <w:tblPrEx>
          <w:tblCellMar>
            <w:top w:w="0" w:type="dxa"/>
            <w:left w:w="108" w:type="dxa"/>
            <w:bottom w:w="0" w:type="dxa"/>
            <w:right w:w="108" w:type="dxa"/>
          </w:tblCellMar>
        </w:tblPrEx>
        <w:trPr>
          <w:trHeight w:val="416"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149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302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慈善组织违反《中华人民共和国慈善法》第十四条规定造成慈善财产损失，将不得用于投资的财产用于投资，擅自改变捐赠财产用途，开展慈善活动的年度支出或者管理费用的标准违反《中华人民共和国慈善法》第六十条规定，未依法履行信息公开义务，未依法报送年度工作报告、财务会计报告或者报备募捐方案，泄露捐赠人、志愿者、受益人个人隐私以及捐赠人、慈善信托的委托人不同意公开的姓名、名称、住所、通讯方式等信息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AC4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未依法报送年度工作报告、财务会计报告或者报备募捐方案，情节较轻的；泄露捐赠人、志愿者、受益人个人隐私以及捐赠人、慈善信托的委托人不同意公开的姓名、名称、住所、通讯方式等信息，情节较轻的；《中华人民共和国慈善法》第一百条“慈善组织有本法第九十八条、第九十九条规定的情形，有违法所得，情节较轻的。</w:t>
            </w:r>
            <w:r>
              <w:rPr>
                <w:rFonts w:hint="eastAsia" w:ascii="宋体" w:hAnsi="宋体" w:cs="宋体"/>
                <w:color w:val="000000"/>
                <w:sz w:val="24"/>
                <w:szCs w:val="24"/>
                <w:lang w:eastAsia="zh-CN"/>
              </w:rPr>
              <w:t>”</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BD8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 条、《中华人民共和国慈善法》第十四条</w:t>
            </w:r>
          </w:p>
        </w:tc>
      </w:tr>
      <w:tr w14:paraId="50C6988A">
        <w:tblPrEx>
          <w:tblCellMar>
            <w:top w:w="0" w:type="dxa"/>
            <w:left w:w="108" w:type="dxa"/>
            <w:bottom w:w="0" w:type="dxa"/>
            <w:right w:w="108" w:type="dxa"/>
          </w:tblCellMar>
        </w:tblPrEx>
        <w:trPr>
          <w:trHeight w:val="292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822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16F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对不具有公开募捐资格的组织或者个人开展公开募捐，通过虚构事实等方式欺骗、诱导募捐对象实施捐赠，向单位或者个人摊派或者变相摊派，开展募捐活动妨碍公共秩序、企业生产经营或者居民生活的处罚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803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不具有公开募捐资格的组织或者个人开展公开募捐，数额较小的；向单位或者个人摊派或者变相摊派，数额较小的。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270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 条、《中华人民共和国慈善法》第一百零一条</w:t>
            </w:r>
          </w:p>
        </w:tc>
      </w:tr>
      <w:tr w14:paraId="5EA1125E">
        <w:tblPrEx>
          <w:tblCellMar>
            <w:top w:w="0" w:type="dxa"/>
            <w:left w:w="108" w:type="dxa"/>
            <w:bottom w:w="0" w:type="dxa"/>
            <w:right w:w="108" w:type="dxa"/>
          </w:tblCellMar>
        </w:tblPrEx>
        <w:trPr>
          <w:trHeight w:val="19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446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3E1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对慈善组织不依法向捐赠人开具捐赠票据、不依法向志愿者出具志愿服务记录证明或者不及时主动向捐赠人反馈有关情况的处罚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0F64">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慈善组织不依法向捐赠人开具捐赠票据、不依法向志愿者出具志愿服务记录证明或者不及时主动向捐赠人反馈有关情况，情节较轻的。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578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《行政处罚法》第三十二条、《中华人民共和国慈善法》第一百零二条</w:t>
            </w:r>
          </w:p>
        </w:tc>
      </w:tr>
      <w:tr w14:paraId="5B27A23E">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1657C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从轻处罚事项清单</w:t>
            </w:r>
          </w:p>
        </w:tc>
      </w:tr>
      <w:tr w14:paraId="281EB47E">
        <w:tblPrEx>
          <w:tblCellMar>
            <w:top w:w="0" w:type="dxa"/>
            <w:left w:w="108" w:type="dxa"/>
            <w:bottom w:w="0" w:type="dxa"/>
            <w:right w:w="108" w:type="dxa"/>
          </w:tblCellMar>
        </w:tblPrEx>
        <w:trPr>
          <w:trHeight w:val="8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7D1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E77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3C1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509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从轻处罚的依据</w:t>
            </w:r>
          </w:p>
        </w:tc>
      </w:tr>
      <w:tr w14:paraId="7464F7CA">
        <w:tblPrEx>
          <w:tblCellMar>
            <w:top w:w="0" w:type="dxa"/>
            <w:left w:w="108" w:type="dxa"/>
            <w:bottom w:w="0" w:type="dxa"/>
            <w:right w:w="108" w:type="dxa"/>
          </w:tblCellMar>
        </w:tblPrEx>
        <w:trPr>
          <w:trHeight w:val="103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C31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98E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社会团体涂改、出租、出借《社会团体法人登记证书》，或者出租、出借社会团体印章的，超出章程规定的宗旨和业务范围进行活动，拒不接受或者不按照规定接受监督检查，不按照规定办理变更登记，违反规定设立分支机构、代表机构，对分支机构、代表机构疏于管理造成严重后果，从事营利性的经营活动，侵占、私分、挪用社会团体资产或者所接受的捐赠、资助，违反国家有关规定收取费用、筹集资金或者接受、使用捐赠、资助等情形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E7E0">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主动消除或者减轻涂改、出租、出借《社会团体法人登记证书》，或者出租、出借社会团体印章的，超出章程规定的宗旨和业务范围进行活动，不按照规定办理变更登记，从事营利性的经营活动，侵占、私分、挪用社会团体资产或者所接受的捐赠、资助，违反国家有关规定收取费用、筹集资金或者接受、使用捐赠、资助等违法行为危害后果，受他人胁迫，配合行政机关查处违法行为有立功表现和其他依法从轻或者减轻行政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41D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《行政处罚法》第三十二条、《社会团体登记管理条例》第三十条</w:t>
            </w:r>
          </w:p>
        </w:tc>
      </w:tr>
      <w:tr w14:paraId="78D326E2">
        <w:tblPrEx>
          <w:tblCellMar>
            <w:top w:w="0" w:type="dxa"/>
            <w:left w:w="108" w:type="dxa"/>
            <w:bottom w:w="0" w:type="dxa"/>
            <w:right w:w="108" w:type="dxa"/>
          </w:tblCellMar>
        </w:tblPrEx>
        <w:trPr>
          <w:trHeight w:val="416"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CB4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A8E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民办非企业单位涂改、出租、出借民办非企业单位登记证书，或者出租、出借民办非企业单位印章，超出其章程规定的宗旨和业务范围进行活动，拒不接受或者不按照规定接受监督检查，不按照规定办理变更登记的，设立分支机构，从事营利性的经营活动，侵占、私分、挪用民办非企业单位的资产或者所接受的捐赠、资助，违反国家有关规定收取费用、筹集资金或者接受使用捐赠、资助等情形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6E2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主动消除或者减轻民办非企业单位涂改、出租、出借民办非企业单位登记证书，或者出租、出借民办非企业单位印章，超出其章程规定的宗旨和业务范围进行活动，不按照规定办理变更登记的，设立分支机构，从事营利性的经营活动，侵占、私分、挪用民办非企业单位的资产或者所接受的捐赠、资助，违反国家有关规定收取费用、筹集资金或者接受使用捐赠、资助等违法行为危害后果，受他人胁迫，配合行政机关查处违法行为有立功表现和其他依法从轻或者减轻行政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1E9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《行政处罚法》第三十二条、《民办非企业单位登记、管理暂行条例》第二十五条</w:t>
            </w:r>
          </w:p>
        </w:tc>
      </w:tr>
      <w:tr w14:paraId="6BEDFCF5">
        <w:tblPrEx>
          <w:tblCellMar>
            <w:top w:w="0" w:type="dxa"/>
            <w:left w:w="108" w:type="dxa"/>
            <w:bottom w:w="0" w:type="dxa"/>
            <w:right w:w="108" w:type="dxa"/>
          </w:tblCellMar>
        </w:tblPrEx>
        <w:trPr>
          <w:trHeight w:val="114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480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94F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对非法从事经营性殡葬服务的处罚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991D">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当事人配合行政机关查处，主动消除或者减轻违法行为危害后果，并没收违法所得的，可从轻并处 3000 元以下罚款。</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89D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r w14:paraId="18952213">
        <w:tblPrEx>
          <w:tblCellMar>
            <w:top w:w="0" w:type="dxa"/>
            <w:left w:w="108" w:type="dxa"/>
            <w:bottom w:w="0" w:type="dxa"/>
            <w:right w:w="108" w:type="dxa"/>
          </w:tblCellMar>
        </w:tblPrEx>
        <w:trPr>
          <w:trHeight w:val="13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18E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CB3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对制造、销售不符合国家技术标准的殡葬设备的处罚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F11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当事人配合行政机关查处，主动消除或者减轻违法行为危害后果，并没收违法所得的，可从轻并处违法所得2倍以下罚款。</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54A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《行政处罚法》第三十二条、《殡葬管理条例》第二十二 条</w:t>
            </w:r>
          </w:p>
        </w:tc>
      </w:tr>
    </w:tbl>
    <w:p w14:paraId="09A9C78F">
      <w:pPr>
        <w:pStyle w:val="2"/>
      </w:pPr>
    </w:p>
    <w:tbl>
      <w:tblPr>
        <w:tblStyle w:val="10"/>
        <w:tblpPr w:leftFromText="180" w:rightFromText="180" w:vertAnchor="text" w:horzAnchor="margin" w:tblpX="-671" w:tblpY="-46"/>
        <w:tblW w:w="14415" w:type="dxa"/>
        <w:tblInd w:w="0" w:type="dxa"/>
        <w:tblLayout w:type="fixed"/>
        <w:tblCellMar>
          <w:top w:w="0" w:type="dxa"/>
          <w:left w:w="108" w:type="dxa"/>
          <w:bottom w:w="0" w:type="dxa"/>
          <w:right w:w="108" w:type="dxa"/>
        </w:tblCellMar>
      </w:tblPr>
      <w:tblGrid>
        <w:gridCol w:w="955"/>
        <w:gridCol w:w="4290"/>
        <w:gridCol w:w="5168"/>
        <w:gridCol w:w="4002"/>
      </w:tblGrid>
      <w:tr w14:paraId="676BE3EA">
        <w:tblPrEx>
          <w:tblCellMar>
            <w:top w:w="0" w:type="dxa"/>
            <w:left w:w="108" w:type="dxa"/>
            <w:bottom w:w="0" w:type="dxa"/>
            <w:right w:w="108" w:type="dxa"/>
          </w:tblCellMar>
        </w:tblPrEx>
        <w:trPr>
          <w:trHeight w:val="700" w:hRule="atLeast"/>
        </w:trPr>
        <w:tc>
          <w:tcPr>
            <w:tcW w:w="1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798433">
            <w:pPr>
              <w:keepNext w:val="0"/>
              <w:keepLines w:val="0"/>
              <w:pageBreakBefore w:val="0"/>
              <w:kinsoku/>
              <w:wordWrap/>
              <w:overflowPunct/>
              <w:topLinePunct w:val="0"/>
              <w:bidi w:val="0"/>
              <w:spacing w:line="588" w:lineRule="exact"/>
              <w:jc w:val="center"/>
              <w:textAlignment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文化执法领域</w:t>
            </w:r>
          </w:p>
        </w:tc>
      </w:tr>
      <w:tr w14:paraId="3DA47D59">
        <w:tblPrEx>
          <w:tblCellMar>
            <w:top w:w="0" w:type="dxa"/>
            <w:left w:w="108" w:type="dxa"/>
            <w:bottom w:w="0" w:type="dxa"/>
            <w:right w:w="108" w:type="dxa"/>
          </w:tblCellMar>
        </w:tblPrEx>
        <w:trPr>
          <w:trHeight w:val="700" w:hRule="atLeast"/>
        </w:trPr>
        <w:tc>
          <w:tcPr>
            <w:tcW w:w="1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2189C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减轻处罚事项清单</w:t>
            </w:r>
          </w:p>
        </w:tc>
      </w:tr>
      <w:tr w14:paraId="537634A4">
        <w:tblPrEx>
          <w:tblCellMar>
            <w:top w:w="0" w:type="dxa"/>
            <w:left w:w="108" w:type="dxa"/>
            <w:bottom w:w="0" w:type="dxa"/>
            <w:right w:w="108" w:type="dxa"/>
          </w:tblCellMar>
        </w:tblPrEx>
        <w:trPr>
          <w:trHeight w:val="8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2AE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986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3DE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484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减轻处罚的依据</w:t>
            </w:r>
          </w:p>
        </w:tc>
      </w:tr>
      <w:tr w14:paraId="28DC83B0">
        <w:tblPrEx>
          <w:tblCellMar>
            <w:top w:w="0" w:type="dxa"/>
            <w:left w:w="108" w:type="dxa"/>
            <w:bottom w:w="0" w:type="dxa"/>
            <w:right w:w="108" w:type="dxa"/>
          </w:tblCellMar>
        </w:tblPrEx>
        <w:trPr>
          <w:trHeight w:val="158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C8E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F34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对网络游戏经营单位未按规定标示《网络文化经营许可证》等信息，实际经营的网站域名与申报信息不一致的处罚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F7E4">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网络游戏经营单位未按规定标示《网络文化经营许可证》等信息但主动整改的。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01A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w:t>
            </w:r>
            <w:r>
              <w:rPr>
                <w:rFonts w:hint="eastAsia" w:ascii="宋体" w:hAnsi="宋体" w:cs="宋体"/>
                <w:color w:val="000000"/>
                <w:sz w:val="24"/>
                <w:szCs w:val="24"/>
                <w:lang w:val="en-US" w:eastAsia="zh-CN"/>
              </w:rPr>
              <w:t>第</w:t>
            </w:r>
            <w:r>
              <w:rPr>
                <w:rFonts w:hint="eastAsia" w:ascii="宋体" w:hAnsi="宋体" w:eastAsia="宋体" w:cs="宋体"/>
                <w:color w:val="000000"/>
                <w:sz w:val="24"/>
                <w:szCs w:val="24"/>
              </w:rPr>
              <w:t>三十二条</w:t>
            </w:r>
          </w:p>
        </w:tc>
      </w:tr>
      <w:tr w14:paraId="39E047E3">
        <w:tblPrEx>
          <w:tblCellMar>
            <w:top w:w="0" w:type="dxa"/>
            <w:left w:w="108" w:type="dxa"/>
            <w:bottom w:w="0" w:type="dxa"/>
            <w:right w:w="108" w:type="dxa"/>
          </w:tblCellMar>
        </w:tblPrEx>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F14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0BA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对娱乐场所未在显著位置悬挂娱乐经营许可证或者未成年人禁入（限入）标志未注明“12318”文化市场举报电话的处罚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ADBE">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娱乐场所未在显著位置悬挂娱乐经营许可证或者未成年人禁入（限入）标志未注明“12318”文化市场举报电话但主动整改的。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158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《娱乐场所管理办法》第三十三条</w:t>
            </w:r>
          </w:p>
        </w:tc>
      </w:tr>
      <w:tr w14:paraId="568F432B">
        <w:tblPrEx>
          <w:tblCellMar>
            <w:top w:w="0" w:type="dxa"/>
            <w:left w:w="108" w:type="dxa"/>
            <w:bottom w:w="0" w:type="dxa"/>
            <w:right w:w="108" w:type="dxa"/>
          </w:tblCellMar>
        </w:tblPrEx>
        <w:trPr>
          <w:trHeight w:val="11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F84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91B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对复制明知或者应知含有禁止内容产品或其他非法出版物的处罚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CB07">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如果当事人对所复制产品的来源作出说明、指认，经查证属实的，没收出版物、违法所得。</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264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《复制管理办法》第三十九条</w:t>
            </w:r>
          </w:p>
        </w:tc>
      </w:tr>
      <w:tr w14:paraId="6DA9F83C">
        <w:tblPrEx>
          <w:tblCellMar>
            <w:top w:w="0" w:type="dxa"/>
            <w:left w:w="108" w:type="dxa"/>
            <w:bottom w:w="0" w:type="dxa"/>
            <w:right w:w="108" w:type="dxa"/>
          </w:tblCellMar>
        </w:tblPrEx>
        <w:trPr>
          <w:trHeight w:val="700" w:hRule="atLeast"/>
        </w:trPr>
        <w:tc>
          <w:tcPr>
            <w:tcW w:w="1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CF7BE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从轻处罚事项清单</w:t>
            </w:r>
          </w:p>
        </w:tc>
      </w:tr>
      <w:tr w14:paraId="53F17B6A">
        <w:tblPrEx>
          <w:tblCellMar>
            <w:top w:w="0" w:type="dxa"/>
            <w:left w:w="108" w:type="dxa"/>
            <w:bottom w:w="0" w:type="dxa"/>
            <w:right w:w="108" w:type="dxa"/>
          </w:tblCellMar>
        </w:tblPrEx>
        <w:trPr>
          <w:trHeight w:val="8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36F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540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AAC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2A9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从轻处罚的依据</w:t>
            </w:r>
          </w:p>
        </w:tc>
      </w:tr>
      <w:tr w14:paraId="145A6740">
        <w:tblPrEx>
          <w:tblCellMar>
            <w:top w:w="0" w:type="dxa"/>
            <w:left w:w="108" w:type="dxa"/>
            <w:bottom w:w="0" w:type="dxa"/>
            <w:right w:w="108" w:type="dxa"/>
          </w:tblCellMar>
        </w:tblPrEx>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550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433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对网络游戏经营单位未按规定标明批准文号或备案编号的处罚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9DAA">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违法的单位，主动消除或者减轻违法行为危害后果，或受他人胁迫有违法行为，或配合行政机关查处违法行为有立功表现，或者存在其他依法从轻处罚情形。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07C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r w14:paraId="39B328B5">
        <w:tblPrEx>
          <w:tblCellMar>
            <w:top w:w="0" w:type="dxa"/>
            <w:left w:w="108" w:type="dxa"/>
            <w:bottom w:w="0" w:type="dxa"/>
            <w:right w:w="108" w:type="dxa"/>
          </w:tblCellMar>
        </w:tblPrEx>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7EA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7AD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对擅自承担文物保护单位的修缮、迁移、重建工程的处罚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32D9">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违法的单位，主动消除或者减轻违法行为危害后果，或受他人胁迫有违法行为，或配合行政机关查处违法行为有立功表现，或者存在其他依法从轻处罚情形。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916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bl>
    <w:p w14:paraId="1BDE43B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方正小标宋简体" w:hAnsi="方正小标宋_GBK" w:eastAsia="方正小标宋简体" w:cs="方正小标宋_GBK"/>
          <w:color w:val="000000"/>
          <w:sz w:val="44"/>
          <w:szCs w:val="44"/>
        </w:rPr>
        <w:sectPr>
          <w:pgSz w:w="16838" w:h="11906" w:orient="landscape"/>
          <w:pgMar w:top="1587" w:right="1984" w:bottom="1474" w:left="1984" w:header="851" w:footer="992" w:gutter="0"/>
          <w:pgNumType w:fmt="numberInDash"/>
          <w:cols w:space="0" w:num="1"/>
          <w:rtlGutter w:val="0"/>
          <w:docGrid w:type="lines" w:linePitch="315" w:charSpace="0"/>
        </w:sectPr>
      </w:pPr>
    </w:p>
    <w:tbl>
      <w:tblPr>
        <w:tblStyle w:val="10"/>
        <w:tblpPr w:leftFromText="180" w:rightFromText="180" w:vertAnchor="text" w:horzAnchor="margin" w:tblpX="-671" w:tblpY="530"/>
        <w:tblW w:w="14430" w:type="dxa"/>
        <w:tblInd w:w="0" w:type="dxa"/>
        <w:tblLayout w:type="fixed"/>
        <w:tblCellMar>
          <w:top w:w="0" w:type="dxa"/>
          <w:left w:w="108" w:type="dxa"/>
          <w:bottom w:w="0" w:type="dxa"/>
          <w:right w:w="108" w:type="dxa"/>
        </w:tblCellMar>
      </w:tblPr>
      <w:tblGrid>
        <w:gridCol w:w="970"/>
        <w:gridCol w:w="4259"/>
        <w:gridCol w:w="5184"/>
        <w:gridCol w:w="4017"/>
      </w:tblGrid>
      <w:tr w14:paraId="5DF573EC">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7B72E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体育执法领域</w:t>
            </w:r>
          </w:p>
        </w:tc>
      </w:tr>
      <w:tr w14:paraId="128D8006">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291E6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不予处罚清单</w:t>
            </w:r>
          </w:p>
        </w:tc>
      </w:tr>
      <w:tr w14:paraId="74CD4CD1">
        <w:tblPrEx>
          <w:tblCellMar>
            <w:top w:w="0" w:type="dxa"/>
            <w:left w:w="108" w:type="dxa"/>
            <w:bottom w:w="0" w:type="dxa"/>
            <w:right w:w="108" w:type="dxa"/>
          </w:tblCellMar>
        </w:tblPrEx>
        <w:trPr>
          <w:trHeight w:val="8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A3E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BCA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E72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CBB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不予处罚的依据</w:t>
            </w:r>
          </w:p>
        </w:tc>
      </w:tr>
      <w:tr w14:paraId="584F6CAE">
        <w:tblPrEx>
          <w:tblCellMar>
            <w:top w:w="0" w:type="dxa"/>
            <w:left w:w="108" w:type="dxa"/>
            <w:bottom w:w="0" w:type="dxa"/>
            <w:right w:w="108" w:type="dxa"/>
          </w:tblCellMar>
        </w:tblPrEx>
        <w:trPr>
          <w:trHeight w:val="314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B34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B07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对公共体育场馆违反禁烟规定的处罚</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30BB">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情节轻微，未造成负面影响或危害后果，主动承诺限期整改并按期整改完成（针对场馆管理单位）；违法情节轻微，认识错误态度良好及时纠正，没有造成危害后果（针对具体人员）；不满十四周岁的人在禁止吸烟场所吸烟的，不予行政处罚，责令监护人加以管教；精神病人在不能辨认或者不能控制自己行为时在禁止吸烟场所吸烟的，不予行政处罚，责令其监护人严加看管和治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2F2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《行政处罚法》第三十条、第三十一条、第三十三条、第五十七条</w:t>
            </w:r>
          </w:p>
        </w:tc>
      </w:tr>
      <w:tr w14:paraId="46DBA03B">
        <w:tblPrEx>
          <w:tblCellMar>
            <w:top w:w="0" w:type="dxa"/>
            <w:left w:w="108" w:type="dxa"/>
            <w:bottom w:w="0" w:type="dxa"/>
            <w:right w:w="108" w:type="dxa"/>
          </w:tblCellMar>
        </w:tblPrEx>
        <w:trPr>
          <w:trHeight w:val="12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DF9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E53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对公共体育设施管理单位违规的处罚</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692C">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违法情节轻微并及时改正，没有违法所得，没有造成危害后果。</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AFA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《行政处罚法》第二十七条、第三十八条</w:t>
            </w:r>
          </w:p>
        </w:tc>
      </w:tr>
      <w:tr w14:paraId="54AEAF2A">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E92CC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减轻处罚事项清单</w:t>
            </w:r>
          </w:p>
        </w:tc>
      </w:tr>
      <w:tr w14:paraId="63AB6C49">
        <w:tblPrEx>
          <w:tblCellMar>
            <w:top w:w="0" w:type="dxa"/>
            <w:left w:w="108" w:type="dxa"/>
            <w:bottom w:w="0" w:type="dxa"/>
            <w:right w:w="108" w:type="dxa"/>
          </w:tblCellMar>
        </w:tblPrEx>
        <w:trPr>
          <w:trHeight w:val="8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F5B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B9F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EAC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C63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减轻处罚的依据</w:t>
            </w:r>
          </w:p>
        </w:tc>
      </w:tr>
      <w:tr w14:paraId="6C002D1F">
        <w:tblPrEx>
          <w:tblCellMar>
            <w:top w:w="0" w:type="dxa"/>
            <w:left w:w="108" w:type="dxa"/>
            <w:bottom w:w="0" w:type="dxa"/>
            <w:right w:w="108" w:type="dxa"/>
          </w:tblCellMar>
        </w:tblPrEx>
        <w:trPr>
          <w:trHeight w:val="416"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871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588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对公共体育场馆违反禁烟规定的处罚</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CB3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个人在禁止吸烟场所吸烟，主动消除或者减轻违法行为危害后果，或受他人胁迫有违法行为，或配合行政机关查处违法行为有立功表现，或者为已满十四周岁不满十八周岁的人，或者存在其他依法减轻处罚情形的，责令改正，并处以 50 元以下减轻罚款。</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072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《行政处罚法》第三十条、第三十二条</w:t>
            </w:r>
          </w:p>
        </w:tc>
      </w:tr>
      <w:tr w14:paraId="68E27930">
        <w:tblPrEx>
          <w:tblCellMar>
            <w:top w:w="0" w:type="dxa"/>
            <w:left w:w="108" w:type="dxa"/>
            <w:bottom w:w="0" w:type="dxa"/>
            <w:right w:w="108" w:type="dxa"/>
          </w:tblCellMar>
        </w:tblPrEx>
        <w:trPr>
          <w:trHeight w:val="228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7C0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749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对公共体育设施管理单位违规的处罚</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A757">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的公共文化设施管理单位，主动消除或者减轻违法行为危害后果，或受他人胁迫有违法行为，或配合行政机关查处违法行为有立功表现，或者存在其他依法减轻处罚情形的，责令限期改正，没收违法所得，违法所得五千元以上的，并处违法所得两倍以下减轻罚款。</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0FF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r w14:paraId="66EB10F1">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8E9A1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从轻处罚事项清单</w:t>
            </w:r>
          </w:p>
        </w:tc>
      </w:tr>
      <w:tr w14:paraId="12DC184C">
        <w:tblPrEx>
          <w:tblCellMar>
            <w:top w:w="0" w:type="dxa"/>
            <w:left w:w="108" w:type="dxa"/>
            <w:bottom w:w="0" w:type="dxa"/>
            <w:right w:w="108" w:type="dxa"/>
          </w:tblCellMar>
        </w:tblPrEx>
        <w:trPr>
          <w:trHeight w:val="8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C0C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A1E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B1B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4E1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从轻处罚的依据</w:t>
            </w:r>
          </w:p>
        </w:tc>
      </w:tr>
      <w:tr w14:paraId="65C5C9F4">
        <w:tblPrEx>
          <w:tblCellMar>
            <w:top w:w="0" w:type="dxa"/>
            <w:left w:w="108" w:type="dxa"/>
            <w:bottom w:w="0" w:type="dxa"/>
            <w:right w:w="108" w:type="dxa"/>
          </w:tblCellMar>
        </w:tblPrEx>
        <w:trPr>
          <w:trHeight w:val="38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2A9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745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对公共体育场馆违反禁烟规定的处罚</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6E13">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违法的单位，主动消除或者减轻违法行为危害后果，或配合行政机关查处违法行为有立功表现，或者存在其他依法从轻处罚情形的，责令限期改正，给予警告，可并处 4 千元以下罚款；逾期不改正者，处 8 千元以下罚款；个人在禁止吸烟场所吸烟，主动消除或者减轻违法行为危害后果，或受他人胁迫有违法行为，或配合行政机关查处违法行为有立功表现，或者为已满十四周岁不满十八周岁的人，或者存在其他依法从轻处罚情形的，责令改正，并处以 50 元以上100 元以下罚款。</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6F6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《行政处罚法》第三十条、第三十二条</w:t>
            </w:r>
          </w:p>
        </w:tc>
      </w:tr>
      <w:tr w14:paraId="4C65C8A4">
        <w:tblPrEx>
          <w:tblCellMar>
            <w:top w:w="0" w:type="dxa"/>
            <w:left w:w="108" w:type="dxa"/>
            <w:bottom w:w="0" w:type="dxa"/>
            <w:right w:w="108" w:type="dxa"/>
          </w:tblCellMar>
        </w:tblPrEx>
        <w:trPr>
          <w:trHeight w:val="416"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D2E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24E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对公共体育设施管理单位违规的处罚</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5BC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违法的公共文化设施管理单位，主动消除或者减轻违法行为危害后果，或受他人胁迫有违法行为，或配合行政机关查处违法行为有立功表现，或者存在其他依法从轻处罚情形的，责令限期改正， 没收违法所得，违法所得五千元以上的，并处违法所得两倍或三倍罚款;没有违法所得或者违法所得五千元以下的，可以处4 千元以下的罚款;对直接负责的主管人员和其他直接责任人员，依法给予处分。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BD0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《行政处罚法》第二十七条</w:t>
            </w:r>
          </w:p>
        </w:tc>
      </w:tr>
    </w:tbl>
    <w:p w14:paraId="18E4D767">
      <w:pPr>
        <w:keepNext w:val="0"/>
        <w:keepLines w:val="0"/>
        <w:pageBreakBefore w:val="0"/>
        <w:kinsoku/>
        <w:wordWrap/>
        <w:overflowPunct/>
        <w:topLinePunct w:val="0"/>
        <w:bidi w:val="0"/>
        <w:spacing w:line="588" w:lineRule="exact"/>
        <w:jc w:val="center"/>
        <w:textAlignment w:val="center"/>
        <w:rPr>
          <w:rFonts w:hint="eastAsia" w:ascii="方正小标宋简体" w:hAnsi="方正小标宋_GBK" w:eastAsia="方正小标宋简体" w:cs="方正小标宋_GBK"/>
          <w:color w:val="000000"/>
          <w:sz w:val="44"/>
          <w:szCs w:val="44"/>
        </w:rPr>
        <w:sectPr>
          <w:pgSz w:w="16838" w:h="11906" w:orient="landscape"/>
          <w:pgMar w:top="1587" w:right="1984" w:bottom="1474" w:left="1984" w:header="851" w:footer="992" w:gutter="0"/>
          <w:pgNumType w:fmt="numberInDash"/>
          <w:cols w:space="0" w:num="1"/>
          <w:rtlGutter w:val="0"/>
          <w:docGrid w:type="lines" w:linePitch="315" w:charSpace="0"/>
        </w:sectPr>
      </w:pPr>
    </w:p>
    <w:tbl>
      <w:tblPr>
        <w:tblStyle w:val="10"/>
        <w:tblW w:w="14445" w:type="dxa"/>
        <w:tblInd w:w="-687" w:type="dxa"/>
        <w:tblLayout w:type="fixed"/>
        <w:tblCellMar>
          <w:top w:w="0" w:type="dxa"/>
          <w:left w:w="108" w:type="dxa"/>
          <w:bottom w:w="0" w:type="dxa"/>
          <w:right w:w="108" w:type="dxa"/>
        </w:tblCellMar>
      </w:tblPr>
      <w:tblGrid>
        <w:gridCol w:w="1000"/>
        <w:gridCol w:w="4260"/>
        <w:gridCol w:w="5168"/>
        <w:gridCol w:w="4017"/>
      </w:tblGrid>
      <w:tr w14:paraId="56E9AB99">
        <w:tblPrEx>
          <w:tblCellMar>
            <w:top w:w="0" w:type="dxa"/>
            <w:left w:w="108" w:type="dxa"/>
            <w:bottom w:w="0" w:type="dxa"/>
            <w:right w:w="108" w:type="dxa"/>
          </w:tblCellMar>
        </w:tblPrEx>
        <w:trPr>
          <w:trHeight w:val="700" w:hRule="atLeast"/>
        </w:trPr>
        <w:tc>
          <w:tcPr>
            <w:tcW w:w="14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86CB8F">
            <w:pPr>
              <w:keepNext w:val="0"/>
              <w:keepLines w:val="0"/>
              <w:pageBreakBefore w:val="0"/>
              <w:kinsoku/>
              <w:wordWrap/>
              <w:overflowPunct/>
              <w:topLinePunct w:val="0"/>
              <w:bidi w:val="0"/>
              <w:spacing w:line="588" w:lineRule="exact"/>
              <w:jc w:val="center"/>
              <w:textAlignment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卫生健康执法领域</w:t>
            </w:r>
          </w:p>
        </w:tc>
      </w:tr>
      <w:tr w14:paraId="37269862">
        <w:tblPrEx>
          <w:tblCellMar>
            <w:top w:w="0" w:type="dxa"/>
            <w:left w:w="108" w:type="dxa"/>
            <w:bottom w:w="0" w:type="dxa"/>
            <w:right w:w="108" w:type="dxa"/>
          </w:tblCellMar>
        </w:tblPrEx>
        <w:trPr>
          <w:trHeight w:val="700" w:hRule="atLeast"/>
        </w:trPr>
        <w:tc>
          <w:tcPr>
            <w:tcW w:w="14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22BCE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卫生健康领域初次违法行为不予行政处罚清单</w:t>
            </w:r>
          </w:p>
        </w:tc>
      </w:tr>
      <w:tr w14:paraId="7E66076C">
        <w:tblPrEx>
          <w:tblCellMar>
            <w:top w:w="0" w:type="dxa"/>
            <w:left w:w="108" w:type="dxa"/>
            <w:bottom w:w="0" w:type="dxa"/>
            <w:right w:w="108" w:type="dxa"/>
          </w:tblCellMar>
        </w:tblPrEx>
        <w:trPr>
          <w:trHeight w:val="80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1D7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F83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AEF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7E8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不予处罚的依据</w:t>
            </w:r>
          </w:p>
        </w:tc>
      </w:tr>
      <w:tr w14:paraId="3D8BE2BE">
        <w:tblPrEx>
          <w:tblCellMar>
            <w:top w:w="0" w:type="dxa"/>
            <w:left w:w="108" w:type="dxa"/>
            <w:bottom w:w="0" w:type="dxa"/>
            <w:right w:w="108" w:type="dxa"/>
          </w:tblCellMar>
        </w:tblPrEx>
        <w:trPr>
          <w:trHeight w:val="9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A0B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D1E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公共场所经营者安排未获得有效健康合格证明的从业人员从事直接为顾客服务工作的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1D21">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6CB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117A1C63">
        <w:tblPrEx>
          <w:tblCellMar>
            <w:top w:w="0" w:type="dxa"/>
            <w:left w:w="108" w:type="dxa"/>
            <w:bottom w:w="0" w:type="dxa"/>
            <w:right w:w="108" w:type="dxa"/>
          </w:tblCellMar>
        </w:tblPrEx>
        <w:trPr>
          <w:trHeight w:val="66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37D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6F8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公共场所未按照规定进行卫生检测</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570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D47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570AFD35">
        <w:tblPrEx>
          <w:tblCellMar>
            <w:top w:w="0" w:type="dxa"/>
            <w:left w:w="108" w:type="dxa"/>
            <w:bottom w:w="0" w:type="dxa"/>
            <w:right w:w="108" w:type="dxa"/>
          </w:tblCellMar>
        </w:tblPrEx>
        <w:trPr>
          <w:trHeight w:val="974"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9CE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B3B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对集中式供水单位安排未取得体检合格证的人员从事直接供、管水工作</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3093">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C63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286465C1">
        <w:tblPrEx>
          <w:tblCellMar>
            <w:top w:w="0" w:type="dxa"/>
            <w:left w:w="108" w:type="dxa"/>
            <w:bottom w:w="0" w:type="dxa"/>
            <w:right w:w="108" w:type="dxa"/>
          </w:tblCellMar>
        </w:tblPrEx>
        <w:trPr>
          <w:trHeight w:val="6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8D9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881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未按照规定制定职业病防治计划和实施方案的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B888">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834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500339C0">
        <w:tblPrEx>
          <w:tblCellMar>
            <w:top w:w="0" w:type="dxa"/>
            <w:left w:w="108" w:type="dxa"/>
            <w:bottom w:w="0" w:type="dxa"/>
            <w:right w:w="108" w:type="dxa"/>
          </w:tblCellMar>
        </w:tblPrEx>
        <w:trPr>
          <w:trHeight w:val="70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E21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141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未设置或者指定职业卫生管理机构或者组织</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AC11">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4AF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07170605">
        <w:tblPrEx>
          <w:tblCellMar>
            <w:top w:w="0" w:type="dxa"/>
            <w:left w:w="108" w:type="dxa"/>
            <w:bottom w:w="0" w:type="dxa"/>
            <w:right w:w="108" w:type="dxa"/>
          </w:tblCellMar>
        </w:tblPrEx>
        <w:trPr>
          <w:trHeight w:val="71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3A0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4D4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未配备专职或者兼职职业卫生管理人员</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1369">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C58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0A681CF3">
        <w:tblPrEx>
          <w:tblCellMar>
            <w:top w:w="0" w:type="dxa"/>
            <w:left w:w="108" w:type="dxa"/>
            <w:bottom w:w="0" w:type="dxa"/>
            <w:right w:w="108" w:type="dxa"/>
          </w:tblCellMar>
        </w:tblPrEx>
        <w:trPr>
          <w:trHeight w:val="692"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221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FED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未按照规定建立、健全职业卫生管理制度和操作规程的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921E">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CBB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3AE0C46A">
        <w:tblPrEx>
          <w:tblCellMar>
            <w:top w:w="0" w:type="dxa"/>
            <w:left w:w="108" w:type="dxa"/>
            <w:bottom w:w="0" w:type="dxa"/>
            <w:right w:w="108" w:type="dxa"/>
          </w:tblCellMar>
        </w:tblPrEx>
        <w:trPr>
          <w:trHeight w:val="983"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75D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A7C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未建立、健全工作场所职业病危害因素监测及评价制度的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FF2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692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31DED473">
        <w:tblPrEx>
          <w:tblCellMar>
            <w:top w:w="0" w:type="dxa"/>
            <w:left w:w="108" w:type="dxa"/>
            <w:bottom w:w="0" w:type="dxa"/>
            <w:right w:w="108" w:type="dxa"/>
          </w:tblCellMar>
        </w:tblPrEx>
        <w:trPr>
          <w:trHeight w:val="1266"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787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A1C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未按照规定公布有关职业病防治的规章制度、操作规程、职业病危害事故应急救援措施的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A86B">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F32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01700B5F">
        <w:tblPrEx>
          <w:tblCellMar>
            <w:top w:w="0" w:type="dxa"/>
            <w:left w:w="108" w:type="dxa"/>
            <w:bottom w:w="0" w:type="dxa"/>
            <w:right w:w="108" w:type="dxa"/>
          </w:tblCellMar>
        </w:tblPrEx>
        <w:trPr>
          <w:trHeight w:val="986"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860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932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工作场所职业病危害因素检测、评价结果没有或未按照规定上报、公布的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0B2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9E3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0E27EEE1">
        <w:tblPrEx>
          <w:tblCellMar>
            <w:top w:w="0" w:type="dxa"/>
            <w:left w:w="108" w:type="dxa"/>
            <w:bottom w:w="0" w:type="dxa"/>
            <w:right w:w="108" w:type="dxa"/>
          </w:tblCellMar>
        </w:tblPrEx>
        <w:trPr>
          <w:trHeight w:val="561"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FC9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DF7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医疗机构未按照规定进行校验的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8048">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ECA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514F027F">
        <w:tblPrEx>
          <w:tblCellMar>
            <w:top w:w="0" w:type="dxa"/>
            <w:left w:w="108" w:type="dxa"/>
            <w:bottom w:w="0" w:type="dxa"/>
            <w:right w:w="108" w:type="dxa"/>
          </w:tblCellMar>
        </w:tblPrEx>
        <w:trPr>
          <w:trHeight w:val="91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A71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03E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医疗卫生机构未实施本机构护士在职培训计划或者未保证护士接受培训的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2D4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075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43FB44A2">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32C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06B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医疗废物的暂时贮存设施、设备未设置明显的警示标识</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9D98">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C8C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052F91F8">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514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621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医疗卫生机构未建立、健全医疗废物管理制度，或者未设置监控部门或者专（兼）职人员的</w:t>
            </w:r>
            <w:r>
              <w:rPr>
                <w:rFonts w:hint="eastAsia" w:ascii="宋体" w:hAnsi="宋体" w:eastAsia="宋体" w:cs="宋体"/>
                <w:color w:val="000000"/>
                <w:sz w:val="24"/>
                <w:szCs w:val="24"/>
              </w:rPr>
              <w:t>。</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0DF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905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33DAA57D">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0DE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DF7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医疗卫生机构未对有关人员进行相关法律和专业技术、安全防护以及紧急处理等知识培训的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5BC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D1C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6C34DB3B">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EDA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AA9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医疗卫生机构建立的医疗废物暂时贮存库房内未张贴“禁止吸烟、饮食”的警示标识的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CB7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6D6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5C4F2E34">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1E4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A00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医疗卫生机构未建立消毒管理组织，或未制定消毒管理制度的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15E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2BE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2DCCCF95">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C3C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ECD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医疗卫生机构购进第三类消毒产品未建立进货检查验收制度的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094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w:t>
            </w:r>
            <w:r>
              <w:rPr>
                <w:rFonts w:ascii="宋体" w:hAnsi="宋体" w:eastAsia="宋体" w:cs="宋体"/>
                <w:color w:val="000000"/>
                <w:sz w:val="24"/>
                <w:szCs w:val="24"/>
              </w:rPr>
              <w:t>且已实际开展进货检查验收的</w:t>
            </w:r>
            <w:r>
              <w:rPr>
                <w:rFonts w:hint="eastAsia" w:ascii="宋体" w:hAnsi="宋体" w:eastAsia="宋体" w:cs="宋体"/>
                <w:color w:val="000000"/>
                <w:sz w:val="24"/>
                <w:szCs w:val="24"/>
              </w:rPr>
              <w:t>，没有造成严重危害后果，不予行政处罚。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58C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123C1F2F">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CA0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3EB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实验室未依照规定在明显位置标示国务院卫生主管部门规定的生物危险标识和生物安全实验室级别标志的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5FC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违法行为轻微并及时改正，且实验室开展工作未标示级别标志</w:t>
            </w:r>
            <w:r>
              <w:rPr>
                <w:rFonts w:ascii="宋体" w:hAnsi="宋体" w:eastAsia="宋体" w:cs="宋体"/>
                <w:color w:val="000000"/>
                <w:sz w:val="24"/>
                <w:szCs w:val="24"/>
              </w:rPr>
              <w:t>的时间不超过</w:t>
            </w:r>
            <w:r>
              <w:rPr>
                <w:rFonts w:hint="eastAsia" w:ascii="宋体" w:hAnsi="宋体" w:eastAsia="宋体" w:cs="宋体"/>
                <w:color w:val="000000"/>
                <w:sz w:val="24"/>
                <w:szCs w:val="24"/>
              </w:rPr>
              <w:t>一个月，没有造成严重危害后果，不予行政处罚。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403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46852EC2">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B24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25B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未依照规定制定实验室感染应急处置预案并备案的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1AC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w:t>
            </w:r>
            <w:r>
              <w:rPr>
                <w:rFonts w:ascii="宋体" w:hAnsi="宋体" w:eastAsia="宋体" w:cs="宋体"/>
                <w:color w:val="000000"/>
                <w:sz w:val="24"/>
                <w:szCs w:val="24"/>
              </w:rPr>
              <w:t>且</w:t>
            </w:r>
            <w:r>
              <w:rPr>
                <w:rFonts w:hint="eastAsia" w:ascii="宋体" w:hAnsi="宋体" w:eastAsia="宋体" w:cs="宋体"/>
                <w:color w:val="000000"/>
                <w:sz w:val="24"/>
                <w:szCs w:val="24"/>
              </w:rPr>
              <w:t>已制定实验室感染应急处置预案，</w:t>
            </w:r>
            <w:r>
              <w:rPr>
                <w:rFonts w:ascii="宋体" w:hAnsi="宋体" w:eastAsia="宋体" w:cs="宋体"/>
                <w:color w:val="000000"/>
                <w:sz w:val="24"/>
                <w:szCs w:val="24"/>
              </w:rPr>
              <w:t>但尚</w:t>
            </w:r>
            <w:r>
              <w:rPr>
                <w:rFonts w:hint="eastAsia" w:ascii="宋体" w:hAnsi="宋体" w:eastAsia="宋体" w:cs="宋体"/>
                <w:color w:val="000000"/>
                <w:sz w:val="24"/>
                <w:szCs w:val="24"/>
              </w:rPr>
              <w:t>未备案</w:t>
            </w:r>
            <w:r>
              <w:rPr>
                <w:rFonts w:ascii="宋体" w:hAnsi="宋体" w:eastAsia="宋体" w:cs="宋体"/>
                <w:color w:val="000000"/>
                <w:sz w:val="24"/>
                <w:szCs w:val="24"/>
              </w:rPr>
              <w:t>，未备案时间不超过一个月</w:t>
            </w:r>
            <w:r>
              <w:rPr>
                <w:rFonts w:hint="eastAsia" w:ascii="宋体" w:hAnsi="宋体" w:eastAsia="宋体" w:cs="宋体"/>
                <w:color w:val="000000"/>
                <w:sz w:val="24"/>
                <w:szCs w:val="24"/>
              </w:rPr>
              <w:t>，没有造成严重危害后果，不予行政处罚。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181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1B9AB258">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951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488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出厂的消毒餐具、饮具未按规定随附消毒合格证明的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F3C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w:t>
            </w:r>
            <w:r>
              <w:rPr>
                <w:rFonts w:ascii="宋体" w:hAnsi="宋体" w:eastAsia="宋体" w:cs="宋体"/>
                <w:color w:val="000000"/>
                <w:sz w:val="24"/>
                <w:szCs w:val="24"/>
              </w:rPr>
              <w:t>且出厂的餐具、饮具已逐批检验合格</w:t>
            </w:r>
            <w:r>
              <w:rPr>
                <w:rFonts w:hint="eastAsia" w:ascii="宋体" w:hAnsi="宋体" w:eastAsia="宋体" w:cs="宋体"/>
                <w:color w:val="000000"/>
                <w:sz w:val="24"/>
                <w:szCs w:val="24"/>
              </w:rPr>
              <w:t>，没有造成严重危害后果，不予行政处罚。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591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3AD4CBDB">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73C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DBC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未建立、健全职业卫生档案和劳动者健康监护档案的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609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045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2F1ABF95">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535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B3F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未按照规定组织劳动者进行职业卫生培训的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74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14E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60A7480A">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914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9AC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未按照规定及时向卫生行政部门申报产生职业病危害的项目的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D97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w:t>
            </w:r>
            <w:r>
              <w:rPr>
                <w:rFonts w:ascii="宋体" w:hAnsi="宋体" w:eastAsia="宋体" w:cs="宋体"/>
                <w:color w:val="000000"/>
                <w:sz w:val="24"/>
                <w:szCs w:val="24"/>
              </w:rPr>
              <w:t>且用人单位未按照规定及时向卫生行政部门申报产生职业病危害的项目，时间在3个月以下（不含3个月）</w:t>
            </w:r>
            <w:r>
              <w:rPr>
                <w:rFonts w:hint="eastAsia" w:ascii="宋体" w:hAnsi="宋体" w:eastAsia="宋体" w:cs="宋体"/>
                <w:color w:val="000000"/>
                <w:sz w:val="24"/>
                <w:szCs w:val="24"/>
              </w:rPr>
              <w:t>，没有造成严重危害后果，不予行政处罚。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C37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12EFD40D">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28C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F12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未依照本法规定在劳动者离开用人单位时提供职业健康监护档案复印件的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41C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AB2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73A71306">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002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5CC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允许未依照《护士条例》规定办理执业地点变更手续、延续执业注册有效期限的护士在本机构从事诊疗技术规范规定的护理活动的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9AF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w:t>
            </w:r>
            <w:r>
              <w:rPr>
                <w:rFonts w:ascii="宋体" w:hAnsi="宋体" w:eastAsia="宋体" w:cs="宋体"/>
                <w:color w:val="000000"/>
                <w:sz w:val="24"/>
                <w:szCs w:val="24"/>
              </w:rPr>
              <w:t>且人数不超过3人</w:t>
            </w:r>
            <w:r>
              <w:rPr>
                <w:rFonts w:hint="eastAsia" w:ascii="宋体" w:hAnsi="宋体" w:eastAsia="宋体" w:cs="宋体"/>
                <w:color w:val="000000"/>
                <w:sz w:val="24"/>
                <w:szCs w:val="24"/>
              </w:rPr>
              <w:t>，没有造成严重危害后果，不予行政处罚。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64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6EA75A9B">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06B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896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未制定、实施本机构护士在职培训计划的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29A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FA6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6B9F897D">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C66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71E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医疗机构紧急借用麻醉药品和第一类精神药品后未备案的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30A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w:t>
            </w:r>
            <w:r>
              <w:rPr>
                <w:rFonts w:ascii="宋体" w:hAnsi="宋体" w:eastAsia="宋体" w:cs="宋体"/>
                <w:color w:val="000000"/>
                <w:sz w:val="24"/>
                <w:szCs w:val="24"/>
              </w:rPr>
              <w:t>且医疗机构紧急借用相关药品未备案时间不超过3日</w:t>
            </w:r>
            <w:r>
              <w:rPr>
                <w:rFonts w:hint="eastAsia" w:ascii="宋体" w:hAnsi="宋体" w:eastAsia="宋体" w:cs="宋体"/>
                <w:color w:val="000000"/>
                <w:sz w:val="24"/>
                <w:szCs w:val="24"/>
              </w:rPr>
              <w:t>，没有造成严重危害后果，不予行政处罚。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081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6BE81A74">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672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6C4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医疗器械使用单位未按照规定建立并执行医疗器械进货查验记录制度的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0FE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BAA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684BFA69">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E52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AF0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未按照规定建立医疗器械临床使用管理工作制度的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C50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3E8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23585149">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3B4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C2F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未按照规定设立医疗器械临床使用管理委员会或者配备专（兼）职人员负责本机构医疗器械临床使用管理工作的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AE2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760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7AE00ED0">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53B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958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医疗机构未按照规定建立医疗器械验收验证制度的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BF7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D04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0A5FDA39">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41B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3D6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医疗机构无专职或者兼职人员负责本单位药品不良反应监测工作的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649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043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bl>
    <w:p w14:paraId="21686EDE">
      <w:pPr>
        <w:keepNext w:val="0"/>
        <w:keepLines w:val="0"/>
        <w:pageBreakBefore w:val="0"/>
        <w:kinsoku/>
        <w:wordWrap/>
        <w:overflowPunct/>
        <w:topLinePunct w:val="0"/>
        <w:bidi w:val="0"/>
        <w:spacing w:line="588" w:lineRule="exact"/>
        <w:jc w:val="center"/>
        <w:textAlignment w:val="center"/>
        <w:rPr>
          <w:rFonts w:ascii="Times New Roman" w:hAnsi="Times New Roman" w:eastAsia="方正小标宋简体" w:cs="Times New Roman"/>
          <w:color w:val="000000" w:themeColor="text1"/>
          <w:sz w:val="44"/>
          <w:szCs w:val="44"/>
          <w14:textFill>
            <w14:solidFill>
              <w14:schemeClr w14:val="tx1"/>
            </w14:solidFill>
          </w14:textFill>
        </w:rPr>
        <w:sectPr>
          <w:pgSz w:w="16838" w:h="11906" w:orient="landscape"/>
          <w:pgMar w:top="1587" w:right="1984" w:bottom="1474" w:left="1984" w:header="851" w:footer="992" w:gutter="0"/>
          <w:pgNumType w:fmt="numberInDash"/>
          <w:cols w:space="0" w:num="1"/>
          <w:rtlGutter w:val="0"/>
          <w:docGrid w:type="lines" w:linePitch="315" w:charSpace="0"/>
        </w:sectPr>
      </w:pPr>
    </w:p>
    <w:tbl>
      <w:tblPr>
        <w:tblStyle w:val="10"/>
        <w:tblW w:w="14445" w:type="dxa"/>
        <w:tblInd w:w="-687" w:type="dxa"/>
        <w:tblLayout w:type="fixed"/>
        <w:tblCellMar>
          <w:top w:w="0" w:type="dxa"/>
          <w:left w:w="108" w:type="dxa"/>
          <w:bottom w:w="0" w:type="dxa"/>
          <w:right w:w="108" w:type="dxa"/>
        </w:tblCellMar>
      </w:tblPr>
      <w:tblGrid>
        <w:gridCol w:w="1015"/>
        <w:gridCol w:w="4229"/>
        <w:gridCol w:w="5169"/>
        <w:gridCol w:w="4032"/>
      </w:tblGrid>
      <w:tr w14:paraId="455208A1">
        <w:tblPrEx>
          <w:tblCellMar>
            <w:top w:w="0" w:type="dxa"/>
            <w:left w:w="108" w:type="dxa"/>
            <w:bottom w:w="0" w:type="dxa"/>
            <w:right w:w="108" w:type="dxa"/>
          </w:tblCellMar>
        </w:tblPrEx>
        <w:trPr>
          <w:trHeight w:val="700" w:hRule="atLeast"/>
        </w:trPr>
        <w:tc>
          <w:tcPr>
            <w:tcW w:w="14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1B371D">
            <w:pPr>
              <w:keepNext w:val="0"/>
              <w:keepLines w:val="0"/>
              <w:pageBreakBefore w:val="0"/>
              <w:kinsoku/>
              <w:wordWrap/>
              <w:overflowPunct/>
              <w:topLinePunct w:val="0"/>
              <w:bidi w:val="0"/>
              <w:spacing w:line="588" w:lineRule="exact"/>
              <w:jc w:val="center"/>
              <w:textAlignment w:val="center"/>
              <w:rPr>
                <w:rFonts w:ascii="方正小标宋简体" w:hAnsi="方正小标宋_GBK" w:eastAsia="方正小标宋简体" w:cs="方正小标宋_GBK"/>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交通运输</w:t>
            </w:r>
            <w:r>
              <w:rPr>
                <w:rFonts w:hint="eastAsia" w:ascii="方正小标宋简体" w:hAnsi="方正小标宋_GBK" w:eastAsia="方正小标宋简体" w:cs="方正小标宋_GBK"/>
                <w:color w:val="000000" w:themeColor="text1"/>
                <w:sz w:val="44"/>
                <w:szCs w:val="44"/>
                <w14:textFill>
                  <w14:solidFill>
                    <w14:schemeClr w14:val="tx1"/>
                  </w14:solidFill>
                </w14:textFill>
              </w:rPr>
              <w:t>执法领域</w:t>
            </w:r>
          </w:p>
        </w:tc>
      </w:tr>
      <w:tr w14:paraId="1C86B04C">
        <w:tblPrEx>
          <w:tblCellMar>
            <w:top w:w="0" w:type="dxa"/>
            <w:left w:w="108" w:type="dxa"/>
            <w:bottom w:w="0" w:type="dxa"/>
            <w:right w:w="108" w:type="dxa"/>
          </w:tblCellMar>
        </w:tblPrEx>
        <w:trPr>
          <w:trHeight w:val="740" w:hRule="atLeast"/>
        </w:trPr>
        <w:tc>
          <w:tcPr>
            <w:tcW w:w="14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73A82A">
            <w:pPr>
              <w:keepNext w:val="0"/>
              <w:keepLines w:val="0"/>
              <w:pageBreakBefore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themeColor="text1"/>
                <w:sz w:val="32"/>
                <w:szCs w:val="32"/>
                <w14:textFill>
                  <w14:solidFill>
                    <w14:schemeClr w14:val="tx1"/>
                  </w14:solidFill>
                </w14:textFill>
              </w:rPr>
            </w:pPr>
            <w:r>
              <w:rPr>
                <w:rFonts w:hint="eastAsia" w:ascii="方正小标宋简体" w:hAnsi="方正小标宋_GBK" w:eastAsia="方正小标宋简体" w:cs="方正小标宋_GBK"/>
                <w:color w:val="000000" w:themeColor="text1"/>
                <w:sz w:val="32"/>
                <w:szCs w:val="32"/>
                <w14:textFill>
                  <w14:solidFill>
                    <w14:schemeClr w14:val="tx1"/>
                  </w14:solidFill>
                </w14:textFill>
              </w:rPr>
              <w:t>不予处罚清单</w:t>
            </w:r>
          </w:p>
        </w:tc>
      </w:tr>
      <w:tr w14:paraId="252B6950">
        <w:tblPrEx>
          <w:tblCellMar>
            <w:top w:w="0" w:type="dxa"/>
            <w:left w:w="108" w:type="dxa"/>
            <w:bottom w:w="0" w:type="dxa"/>
            <w:right w:w="108" w:type="dxa"/>
          </w:tblCellMar>
        </w:tblPrEx>
        <w:trPr>
          <w:trHeight w:val="8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FB01">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序号</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72D4">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处罚事项</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39E5">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不予处罚的情形</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5EB6">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不予处罚的依据</w:t>
            </w:r>
          </w:p>
        </w:tc>
      </w:tr>
      <w:tr w14:paraId="593E25C7">
        <w:tblPrEx>
          <w:tblCellMar>
            <w:top w:w="0" w:type="dxa"/>
            <w:left w:w="108" w:type="dxa"/>
            <w:bottom w:w="0" w:type="dxa"/>
            <w:right w:w="108" w:type="dxa"/>
          </w:tblCellMar>
        </w:tblPrEx>
        <w:trPr>
          <w:trHeight w:val="16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AFDA">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23B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对车辆装载物触地拖行、掉落、遗洒或者飘散，造成公路路面损坏、污染的处罚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83D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按执法部门要求进行规范装载，并采取必要措施防止触地拖行、掉落、遗洒或者飘散。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损坏程度轻微或污染面积较小（3平米以内），未因此引发交通事故、造成交通拥堵等危害后果。</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 在执法部门规定的期限内及时清除污染或修复损害；不能自行清除或修复损害，执法部门代为恢复原状的，依法承担相关费用。</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EC0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《公路安全保护条例》第六十九条  </w:t>
            </w:r>
          </w:p>
        </w:tc>
      </w:tr>
      <w:tr w14:paraId="099DA516">
        <w:tblPrEx>
          <w:tblCellMar>
            <w:top w:w="0" w:type="dxa"/>
            <w:left w:w="108" w:type="dxa"/>
            <w:bottom w:w="0" w:type="dxa"/>
            <w:right w:w="108" w:type="dxa"/>
          </w:tblCellMar>
        </w:tblPrEx>
        <w:trPr>
          <w:trHeight w:val="16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0ED2">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42E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对铁轮车、履带车和其他可能损害路面的机具擅自在公路上行驶的处罚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800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按执法部门要求立即停驶或驶离公路。</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未造成公路路产损害，引发交通事故和交通拥堵等危害后果。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2CC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《中华人民共和国公路法》第七十六条</w:t>
            </w:r>
          </w:p>
        </w:tc>
      </w:tr>
      <w:tr w14:paraId="6D3697E8">
        <w:tblPrEx>
          <w:tblCellMar>
            <w:top w:w="0" w:type="dxa"/>
            <w:left w:w="108" w:type="dxa"/>
            <w:bottom w:w="0" w:type="dxa"/>
            <w:right w:w="108" w:type="dxa"/>
          </w:tblCellMar>
        </w:tblPrEx>
        <w:trPr>
          <w:trHeight w:val="16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14D1">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522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对未经批准在公路用地范围内擅自设置公路标志以外的其他标志的处罚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78A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按执法部门要求立即或在规定期限内清理拆除相应的非公路标志和设施。</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未造成公路路产损害，引发交通事故和交通拥堵等危害后果。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365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《中华人民共和国公路法》第七十九条  </w:t>
            </w:r>
          </w:p>
        </w:tc>
      </w:tr>
      <w:tr w14:paraId="1F9BB386">
        <w:tblPrEx>
          <w:tblCellMar>
            <w:top w:w="0" w:type="dxa"/>
            <w:left w:w="108" w:type="dxa"/>
            <w:bottom w:w="0" w:type="dxa"/>
            <w:right w:w="108" w:type="dxa"/>
          </w:tblCellMar>
        </w:tblPrEx>
        <w:trPr>
          <w:trHeight w:val="558"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9EB2">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EEC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对在公路建筑控制区内修建建筑物、地面构筑物的处罚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73C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修建建筑物、构筑物的施工行为处于初始阶段，施工机械设备未进场或未进行建筑物、构筑物实质性施工，且未造成危害后果。</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按执法部门要求立即停止修建行为，并立即或在规定的期限内清理拆除违法修建的建筑物和构筑物、恢复原状。</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 未发生倾覆、倒塌等事故。</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6. 未影响公路本身安全、完好和畅通。</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915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《中华人民共和国公路法》第五十六条</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第八十一条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《公路安全保护条例》第五十六条</w:t>
            </w:r>
          </w:p>
        </w:tc>
      </w:tr>
      <w:tr w14:paraId="5901E759">
        <w:tblPrEx>
          <w:tblCellMar>
            <w:top w:w="0" w:type="dxa"/>
            <w:left w:w="108" w:type="dxa"/>
            <w:bottom w:w="0" w:type="dxa"/>
            <w:right w:w="108" w:type="dxa"/>
          </w:tblCellMar>
        </w:tblPrEx>
        <w:trPr>
          <w:trHeight w:val="699"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9A3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251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对未经许可利用跨越公路的设施悬挂非公路标志的处罚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A56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按执法部门要求立即或在规定期限内清理拆除违法悬挂的非公路标志。</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未发生悬挂的非公路标志脱落、跌落、坠落等情况。</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 未造成交通事故、交通拥堵、损坏公路路产等危害后果。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451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《公路安全保护条例》第二十七条</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第六十二条</w:t>
            </w:r>
          </w:p>
        </w:tc>
      </w:tr>
      <w:tr w14:paraId="6F5F5447">
        <w:tblPrEx>
          <w:tblCellMar>
            <w:top w:w="0" w:type="dxa"/>
            <w:left w:w="108" w:type="dxa"/>
            <w:bottom w:w="0" w:type="dxa"/>
            <w:right w:w="108" w:type="dxa"/>
          </w:tblCellMar>
        </w:tblPrEx>
        <w:trPr>
          <w:trHeight w:val="16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119F">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B56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对在公路及公路用地范围内摆摊设点、堆放物品，影响公路畅通的处罚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C0C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3.按执法部门要求立即清除摆摊设点和堆放物品。</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4.该行为未造成公路路产损坏，未造成交通拥堵或引发交通事故等危害后果。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CA0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《中华人民共和国公路法》第四十六条 </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第七十七条</w:t>
            </w:r>
          </w:p>
        </w:tc>
      </w:tr>
      <w:tr w14:paraId="6E11B0E8">
        <w:tblPrEx>
          <w:tblCellMar>
            <w:top w:w="0" w:type="dxa"/>
            <w:left w:w="108" w:type="dxa"/>
            <w:bottom w:w="0" w:type="dxa"/>
            <w:right w:w="108" w:type="dxa"/>
          </w:tblCellMar>
        </w:tblPrEx>
        <w:trPr>
          <w:trHeight w:val="16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FAD3">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7B1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对利用公路桥梁（含桥下空间）、涵洞堆放物品，搭建设施的处罚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5B5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堆放的物品或搭建设施属于能够立即清除、拆除并恢复桥下空间原貌的情况。</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按执法部门要求立即清除或在规定期限内拆除堆放物品和搭建的设施，消除安全隐患。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 不适用铺设高压电线和输送易燃、易爆或者其他有毒有害气体、液体的管道的情形。</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6. 该行为未造成影响桥体安全等危害后果。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7F0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《公路安全保护条例》第二十二条</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第五十九条  </w:t>
            </w:r>
          </w:p>
        </w:tc>
      </w:tr>
      <w:tr w14:paraId="6E1A107B">
        <w:tblPrEx>
          <w:tblCellMar>
            <w:top w:w="0" w:type="dxa"/>
            <w:left w:w="108" w:type="dxa"/>
            <w:bottom w:w="0" w:type="dxa"/>
            <w:right w:w="108" w:type="dxa"/>
          </w:tblCellMar>
        </w:tblPrEx>
        <w:trPr>
          <w:trHeight w:val="41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C3DC">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5A9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对将公路作为试车场地的处罚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F88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立即停止实施违法行为，按执法部门要求驶离公路。</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未造成交通拥堵、公路路产损坏，未引发交通事故等危害后果。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028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《中华人民共和国公路法》第五十一条</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第七十七条 </w:t>
            </w:r>
          </w:p>
        </w:tc>
      </w:tr>
      <w:tr w14:paraId="285F566D">
        <w:tblPrEx>
          <w:tblCellMar>
            <w:top w:w="0" w:type="dxa"/>
            <w:left w:w="108" w:type="dxa"/>
            <w:bottom w:w="0" w:type="dxa"/>
            <w:right w:w="108" w:type="dxa"/>
          </w:tblCellMar>
        </w:tblPrEx>
        <w:trPr>
          <w:trHeight w:val="126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F2D0">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AD2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对道路运输经营者使用卫星定位装置出现故障不能保持在线的运输车辆从事经营活动的处罚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896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2.违法行为调查过程中，不存在拒不接受执法部门调查处理、阻碍执法、煽动抗拒执法等妨碍执法公务的行为。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3.卫星定位装置行驶途中出现故障不能保持在线，非客货运输经营者行为所致。</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E28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《道路运输车辆动态监督管理办法》第三十六条</w:t>
            </w:r>
          </w:p>
        </w:tc>
      </w:tr>
      <w:tr w14:paraId="496FAF24">
        <w:tblPrEx>
          <w:tblCellMar>
            <w:top w:w="0" w:type="dxa"/>
            <w:left w:w="108" w:type="dxa"/>
            <w:bottom w:w="0" w:type="dxa"/>
            <w:right w:w="108" w:type="dxa"/>
          </w:tblCellMar>
        </w:tblPrEx>
        <w:trPr>
          <w:trHeight w:val="41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1ABF">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1B8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对道路运输经营者未按照规定的周期和频次进行车辆检验检测的处罚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981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3.逾期开展车辆检验检测不超过30天的。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4.经责令改正，在要求的期限内进行车辆检验检测，检验结果符合营运车辆相关安全标准和技术标准的。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5.车辆未因安全性能问题引发交通事故、服务质量事件危害后果。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D15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《道路运输车辆技术管理规定》第三十一条 </w:t>
            </w:r>
          </w:p>
        </w:tc>
      </w:tr>
      <w:tr w14:paraId="401FFCDA">
        <w:tblPrEx>
          <w:tblCellMar>
            <w:top w:w="0" w:type="dxa"/>
            <w:left w:w="108" w:type="dxa"/>
            <w:bottom w:w="0" w:type="dxa"/>
            <w:right w:w="108" w:type="dxa"/>
          </w:tblCellMar>
        </w:tblPrEx>
        <w:trPr>
          <w:trHeight w:val="1028"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CA7C">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C56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对客运经营者不按批准的客运站点停靠的处罚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FE6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无超员载客的行为，停靠站点仍在规定的运行线路范围内。</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未因此引发乘客服务质量投诉等危害后果。</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 不存在未落实安检、实名制等行为。</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1B2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《中华人民共和国道路运输条例》第六十八条</w:t>
            </w:r>
          </w:p>
        </w:tc>
      </w:tr>
      <w:tr w14:paraId="60C1B376">
        <w:tblPrEx>
          <w:tblCellMar>
            <w:top w:w="0" w:type="dxa"/>
            <w:left w:w="108" w:type="dxa"/>
            <w:bottom w:w="0" w:type="dxa"/>
            <w:right w:w="108" w:type="dxa"/>
          </w:tblCellMar>
        </w:tblPrEx>
        <w:trPr>
          <w:trHeight w:val="98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2FAD">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7CA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对客运经营者不按规定的线路、公布的班次行驶的处罚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C71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3.未同时存在不按批准站点停靠的行为。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4.核定运行线路在运行时间段存在发生自然灾害、交通事故、交通管制等不利于道路通行的客观因素。</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5.未因此引发乘客服务质量投诉等危害后果。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AE3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《中华人民共和国道路运输条例》第六十八条</w:t>
            </w:r>
          </w:p>
        </w:tc>
      </w:tr>
      <w:tr w14:paraId="7902FF90">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9856">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792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对出租汽车驾驶员不按照规定使用文明用语，车容车貌不符合要求的处罚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3B3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3.承诺及时改正，使用文明用语，保证车容车貌符合要求。</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4.与乘客产生矛盾纠纷，遇有乘客投诉等情况，取得乘客谅解的。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5.未引发媒体负面报道等危害后果。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FF9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《出租汽车驾驶员从业资格管理规定》第四十条第</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第四十二条  </w:t>
            </w:r>
          </w:p>
        </w:tc>
      </w:tr>
      <w:tr w14:paraId="03B1FC30">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6664">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596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对客运经营者使用未持有合法有效《道路运输证》的车辆参加客运经营的处罚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F17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p>
          <w:p w14:paraId="18E654C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p>
          <w:p w14:paraId="2DEF1BB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3.不存在涂改、伪造、编造《道路运输证》等违法行为。</w:t>
            </w:r>
          </w:p>
          <w:p w14:paraId="22237C6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4.按执法部门要求为车辆办理道路运输证。</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D25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《道路旅客运输及客运站管理规定》第九十七条　</w:t>
            </w:r>
          </w:p>
        </w:tc>
      </w:tr>
      <w:tr w14:paraId="5C9E063C">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1C27">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471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对道路货运经营者使用无《道路运输证》的车辆的处罚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87DA">
            <w:pPr>
              <w:keepNext w:val="0"/>
              <w:keepLines w:val="0"/>
              <w:pageBreakBefore w:val="0"/>
              <w:widowControl/>
              <w:numPr>
                <w:ilvl w:val="0"/>
                <w:numId w:val="1"/>
              </w:numPr>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3.不存在涂改、伪造、编造《道路运输证》等违法行为。</w:t>
            </w:r>
          </w:p>
          <w:p w14:paraId="7C38772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4.不属于“百吨王”或超限率百分百及以上的货运车辆。</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5.按执法部门要求为车辆办理道路运输证。</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6.不属于危险货物运输车辆。</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442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《道路货物运输及站场管理规定》第六十三条</w:t>
            </w:r>
          </w:p>
        </w:tc>
      </w:tr>
      <w:tr w14:paraId="4D878A79">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49E7">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82C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对未取得从业资格证件，驾驶道路货物运输车辆的处罚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150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3.不存在涂改、伪造、编造从业资格证件等违法行为。</w:t>
            </w:r>
          </w:p>
          <w:p w14:paraId="60D7929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4.不属于“百吨王”或超限率百分百及以上的货运车辆。</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5.不属于危险货物运输的。</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3F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《道路运输从业人员管理规定》第四十六条</w:t>
            </w:r>
          </w:p>
        </w:tc>
      </w:tr>
      <w:tr w14:paraId="56014071">
        <w:tblPrEx>
          <w:tblCellMar>
            <w:top w:w="0" w:type="dxa"/>
            <w:left w:w="108" w:type="dxa"/>
            <w:bottom w:w="0" w:type="dxa"/>
            <w:right w:w="108" w:type="dxa"/>
          </w:tblCellMar>
        </w:tblPrEx>
        <w:trPr>
          <w:trHeight w:val="274"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286A">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11B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对道路运输经营者擅自改装已取得车辆营运证的道路运输车辆的处罚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04E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3.改装车辆的行为轻微，能当场恢复原状，且不影响车辆安全技术性能的。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4.按执法部门要求整改并恢复原状的。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5.未因改装造成交通事故等危害后果的。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6.该违法行为被查处的同时，不存在超限超载或超员运输违法行为。</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0F9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《中华人民共和国道路运输条例》第六十九条</w:t>
            </w:r>
          </w:p>
        </w:tc>
      </w:tr>
      <w:tr w14:paraId="5A43BCED">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7ACD">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DF19">
            <w:pPr>
              <w:keepNext w:val="0"/>
              <w:keepLines w:val="0"/>
              <w:pageBreakBefore w:val="0"/>
              <w:kinsoku/>
              <w:wordWrap/>
              <w:overflowPunct/>
              <w:topLinePunct w:val="0"/>
              <w:autoSpaceDE/>
              <w:autoSpaceDN/>
              <w:bidi w:val="0"/>
              <w:adjustRightInd/>
              <w:snapToGrid/>
              <w:spacing w:line="400" w:lineRule="exac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对运输危险化学品未配备必要的防护用品和应急救援器材的处罚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0C6C">
            <w:pPr>
              <w:pStyle w:val="18"/>
              <w:keepNext w:val="0"/>
              <w:keepLines w:val="0"/>
              <w:pageBreakBefore w:val="0"/>
              <w:numPr>
                <w:ilvl w:val="0"/>
                <w:numId w:val="2"/>
              </w:numPr>
              <w:kinsoku/>
              <w:wordWrap/>
              <w:overflowPunct/>
              <w:topLinePunct w:val="0"/>
              <w:autoSpaceDE/>
              <w:autoSpaceDN/>
              <w:bidi w:val="0"/>
              <w:adjustRightInd/>
              <w:snapToGrid/>
              <w:spacing w:line="400" w:lineRule="exact"/>
              <w:ind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首次实施违法行为。</w:t>
            </w:r>
          </w:p>
          <w:p w14:paraId="522CD626">
            <w:pPr>
              <w:pStyle w:val="18"/>
              <w:keepNext w:val="0"/>
              <w:keepLines w:val="0"/>
              <w:pageBreakBefore w:val="0"/>
              <w:numPr>
                <w:ilvl w:val="0"/>
                <w:numId w:val="2"/>
              </w:numPr>
              <w:kinsoku/>
              <w:wordWrap/>
              <w:overflowPunct/>
              <w:topLinePunct w:val="0"/>
              <w:autoSpaceDE/>
              <w:autoSpaceDN/>
              <w:bidi w:val="0"/>
              <w:adjustRightInd/>
              <w:snapToGrid/>
              <w:spacing w:line="400" w:lineRule="exact"/>
              <w:ind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违法行为调查过程中，不存在拒不接受执法部门调查处理、阻碍执法、煽动抗拒执法等妨碍执行公务的行为。</w:t>
            </w:r>
          </w:p>
          <w:p w14:paraId="346A010F">
            <w:pPr>
              <w:pStyle w:val="18"/>
              <w:keepNext w:val="0"/>
              <w:keepLines w:val="0"/>
              <w:pageBreakBefore w:val="0"/>
              <w:numPr>
                <w:ilvl w:val="0"/>
                <w:numId w:val="2"/>
              </w:numPr>
              <w:kinsoku/>
              <w:wordWrap/>
              <w:overflowPunct/>
              <w:topLinePunct w:val="0"/>
              <w:autoSpaceDE/>
              <w:autoSpaceDN/>
              <w:bidi w:val="0"/>
              <w:adjustRightInd/>
              <w:snapToGrid/>
              <w:spacing w:line="400" w:lineRule="exact"/>
              <w:ind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未因此引发危险化学品道路运输事故，或加剧事故危害。</w:t>
            </w:r>
          </w:p>
          <w:p w14:paraId="6A36137C">
            <w:pPr>
              <w:pStyle w:val="18"/>
              <w:keepNext w:val="0"/>
              <w:keepLines w:val="0"/>
              <w:pageBreakBefore w:val="0"/>
              <w:numPr>
                <w:ilvl w:val="0"/>
                <w:numId w:val="2"/>
              </w:numPr>
              <w:kinsoku/>
              <w:wordWrap/>
              <w:overflowPunct/>
              <w:topLinePunct w:val="0"/>
              <w:autoSpaceDE/>
              <w:autoSpaceDN/>
              <w:bidi w:val="0"/>
              <w:adjustRightInd/>
              <w:snapToGrid/>
              <w:spacing w:line="400" w:lineRule="exact"/>
              <w:ind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经责令改正，按执法部门要求完成必要的防护用品和应急救援器材配备。</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206F">
            <w:pPr>
              <w:keepNext w:val="0"/>
              <w:keepLines w:val="0"/>
              <w:pageBreakBefore w:val="0"/>
              <w:kinsoku/>
              <w:wordWrap/>
              <w:overflowPunct/>
              <w:topLinePunct w:val="0"/>
              <w:autoSpaceDE/>
              <w:autoSpaceDN/>
              <w:bidi w:val="0"/>
              <w:adjustRightInd/>
              <w:snapToGrid/>
              <w:spacing w:line="400" w:lineRule="exac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《危险化学品安全管理条例》第八十六条</w:t>
            </w:r>
          </w:p>
          <w:p w14:paraId="5705DBEA">
            <w:pPr>
              <w:keepNext w:val="0"/>
              <w:keepLines w:val="0"/>
              <w:pageBreakBefore w:val="0"/>
              <w:kinsoku/>
              <w:wordWrap/>
              <w:overflowPunct/>
              <w:topLinePunct w:val="0"/>
              <w:autoSpaceDE/>
              <w:autoSpaceDN/>
              <w:bidi w:val="0"/>
              <w:adjustRightInd/>
              <w:snapToGrid/>
              <w:spacing w:line="400" w:lineRule="exact"/>
              <w:rPr>
                <w:rFonts w:ascii="宋体" w:hAnsi="宋体" w:eastAsia="宋体" w:cs="宋体"/>
                <w:color w:val="000000" w:themeColor="text1"/>
                <w:sz w:val="24"/>
                <w:szCs w:val="24"/>
                <w14:textFill>
                  <w14:solidFill>
                    <w14:schemeClr w14:val="tx1"/>
                  </w14:solidFill>
                </w14:textFill>
              </w:rPr>
            </w:pPr>
          </w:p>
        </w:tc>
      </w:tr>
      <w:tr w14:paraId="11E880F0">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70AF">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D0E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对交通运输领域建设单位未按照国家规定办理工程质量监督手续的行政处罚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3A7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3.在执法部门要求的期限内补充完成质量监督手续办理。</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4.未造成其他危害后果。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BDB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《建设工程质量管理条例》第五十六条</w:t>
            </w:r>
          </w:p>
        </w:tc>
      </w:tr>
      <w:tr w14:paraId="742CC6F3">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0BE4">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6AB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对未经同意或者未按照公路工程技术标准的要求架设、埋设管线、电缆等设施的处罚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3A0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3.擅自架设、埋设管线电缆等设施10米以下，并能立即改正、及时修复。</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4.对公路未造成其他危害后果。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09C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《中华人民共和国公路法》第七十六条</w:t>
            </w:r>
          </w:p>
        </w:tc>
      </w:tr>
      <w:tr w14:paraId="43BD27EF">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3EA9">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DBD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对在高速公路上通行的车辆未按规定的程序和标准缴纳通行费的处罚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603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3.经执法人员制止立即改正，主动补缴通行费。</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4.未造成其他危害后果。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3D3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《天津市高速公路路政管理规定》第二十二条</w:t>
            </w:r>
          </w:p>
        </w:tc>
      </w:tr>
      <w:tr w14:paraId="23A509DF">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34BB">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758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对拆除建筑物和构筑物未按要求采取喷淋措施的处罚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BB6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4.未造成其他危害后果。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542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《天津市建设工程文明施工管理规定》第二十七条 </w:t>
            </w:r>
          </w:p>
        </w:tc>
      </w:tr>
      <w:tr w14:paraId="384572BF">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560D">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F64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对依法必须进行招标的项目的招标人不按照规定发布资格预审公告或者招标公告，构成规避招标的处罚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985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3.工程项目尚未开工，及时改正的。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4.未造成其他危害后果。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CDE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《中华人民共和国招标投标法实施条例》第六十三条</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《中华人民共和国招标投标法》第四十九条 </w:t>
            </w:r>
          </w:p>
        </w:tc>
      </w:tr>
      <w:tr w14:paraId="5BE8CB1C">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71A5">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FF1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对招标人依法应当公开招标而采用邀请招标行为的处罚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247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3.尚未开标，并及时改正。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4.未造成实质性影响的。</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984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《中华人民共和国招标投标法实施条例》第六十四条 </w:t>
            </w:r>
          </w:p>
        </w:tc>
      </w:tr>
      <w:tr w14:paraId="1EEE2547">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6B03">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01D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对客运出租汽车经营者未按规定歇业、停业或者停止部分客运出租汽车车辆运营的处罚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A62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A51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《天津市客运出租汽车管理条例》第二十八条 </w:t>
            </w:r>
          </w:p>
        </w:tc>
      </w:tr>
      <w:tr w14:paraId="374687A2">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77C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8EF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对客运出租汽车经营者对停止运营的客运出租汽车，不缴销、不封存运营证件，不拆除运营标志和里程计价器的处罚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EF1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1CC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《天津市客运出租汽车管理条例》第二十八条</w:t>
            </w:r>
          </w:p>
        </w:tc>
      </w:tr>
      <w:tr w14:paraId="5622ED18">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E31C">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E27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对客运出租汽车经营者未保证运营车辆性能良好的处罚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3D1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369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《天津市客运出租汽车管理条例》第二十八条 </w:t>
            </w:r>
          </w:p>
        </w:tc>
      </w:tr>
      <w:tr w14:paraId="32E33894">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C911">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342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对客运出租汽车经营者未依法与从业人员签订劳动合同、经营合同的处罚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CB0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341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《天津市客运出租汽车管理条例》第二十八条 </w:t>
            </w:r>
          </w:p>
        </w:tc>
      </w:tr>
      <w:tr w14:paraId="032342D7">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A09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B6B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对客运出租汽车经营者未按照规定报送运营情况和有关资料的处罚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537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56C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《天津市客运出租汽车管理条例》第二十八条 </w:t>
            </w:r>
          </w:p>
        </w:tc>
      </w:tr>
      <w:tr w14:paraId="5D45A1C8">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993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0BE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对客运出租汽车驾驶员不执行服务标准，不遵守职业道德的处罚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EC12">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D20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《天津市客运出租汽车管理条例》第三十条 </w:t>
            </w:r>
          </w:p>
        </w:tc>
      </w:tr>
      <w:tr w14:paraId="79A6ADCC">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5D7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095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对无客运出租汽车驾驶员客运资格证从事网约车出租汽车业务的处罚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863D">
            <w:pPr>
              <w:keepNext w:val="0"/>
              <w:keepLines w:val="0"/>
              <w:pageBreakBefore w:val="0"/>
              <w:widowControl/>
              <w:numPr>
                <w:ilvl w:val="0"/>
                <w:numId w:val="4"/>
              </w:numPr>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3.承诺在取得合法资质前不再从事客运出租汽车经营服务，且未造成危害后果。</w:t>
            </w:r>
          </w:p>
          <w:p w14:paraId="168F73A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4.已取得《网络预约出租汽车运输证》。</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3B4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《网络预约出租汽车经营服务管理暂行办法》第三十四条 </w:t>
            </w:r>
          </w:p>
        </w:tc>
      </w:tr>
      <w:tr w14:paraId="7D0D88A1">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926E">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B4B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对无客运出租汽车驾驶员客运资格证从事巡游车出租汽车业务的处罚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7825">
            <w:pPr>
              <w:keepNext w:val="0"/>
              <w:keepLines w:val="0"/>
              <w:pageBreakBefore w:val="0"/>
              <w:widowControl/>
              <w:numPr>
                <w:ilvl w:val="0"/>
                <w:numId w:val="5"/>
              </w:numPr>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3.承诺在取得合法资质前不再从事客运出租汽车经营服务，且未造成危害后果。</w:t>
            </w:r>
          </w:p>
          <w:p w14:paraId="3AA2A40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4.已取得《客运出租汽车车辆运营证》。</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B90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《天津市客运出租汽车管理条例》第三十一条</w:t>
            </w:r>
          </w:p>
        </w:tc>
      </w:tr>
      <w:tr w14:paraId="22A2C11D">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D242">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9AE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对货运经营者没有采取必要措施防止货物脱落、扬撒处罚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0CD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B3C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《中华人民共和国道路运输条例》第六十八条</w:t>
            </w:r>
          </w:p>
        </w:tc>
      </w:tr>
      <w:tr w14:paraId="1153390C">
        <w:tblPrEx>
          <w:tblCellMar>
            <w:top w:w="0" w:type="dxa"/>
            <w:left w:w="108" w:type="dxa"/>
            <w:bottom w:w="0" w:type="dxa"/>
            <w:right w:w="108" w:type="dxa"/>
          </w:tblCellMar>
        </w:tblPrEx>
        <w:trPr>
          <w:trHeight w:val="212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846A">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619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对客运站经营者擅自改变客运站的用途和服务功能或不公布运输线路、配客站点、班次、发车时间、票价的处罚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756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FF0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《道路旅客运输及客运站管理规定》第一百零二条 </w:t>
            </w:r>
          </w:p>
        </w:tc>
      </w:tr>
      <w:tr w14:paraId="4215C5A7">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990B">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6AD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对逃避或者抗拒运力动员或者运力征用的处罚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191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3.经批评教育，及时改正的。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4.未造成其他危害后果。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FF0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《国防交通条例》第五十条 </w:t>
            </w:r>
          </w:p>
        </w:tc>
      </w:tr>
      <w:tr w14:paraId="412FBFAD">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2D1E">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0D2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对违反规定进行涉路施工活动的处罚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029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3.在执法部门要求的期限内立即改正、及时修复。</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4.未造成其他危害后果。 </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E32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《公路安全保护条例》第六十二条 </w:t>
            </w:r>
          </w:p>
        </w:tc>
      </w:tr>
      <w:tr w14:paraId="6E007805">
        <w:tblPrEx>
          <w:tblCellMar>
            <w:top w:w="0" w:type="dxa"/>
            <w:left w:w="108" w:type="dxa"/>
            <w:bottom w:w="0" w:type="dxa"/>
            <w:right w:w="108" w:type="dxa"/>
          </w:tblCellMar>
        </w:tblPrEx>
        <w:trPr>
          <w:trHeight w:val="197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3FDF">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89A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对客运出租汽车经营者未在车辆顶部固定安装由交通运输管理部门监制的有完好照明装置的客运出租汽车标志的处罚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3AC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675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《天津市客运出租汽车管理条例》（2018年）第二十八条</w:t>
            </w:r>
          </w:p>
        </w:tc>
      </w:tr>
      <w:tr w14:paraId="0A01F017">
        <w:tblPrEx>
          <w:tblCellMar>
            <w:top w:w="0" w:type="dxa"/>
            <w:left w:w="108" w:type="dxa"/>
            <w:bottom w:w="0" w:type="dxa"/>
            <w:right w:w="108" w:type="dxa"/>
          </w:tblCellMar>
        </w:tblPrEx>
        <w:trPr>
          <w:trHeight w:val="212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BB49">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38</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235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对客运出租汽车经营者未按路灯启闭时间启闭车辆照明装置的处罚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E33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3.按执法部门要求，及时改正。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3E8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《天津市客运出租汽车管理条例》（2018年）第二十八条</w:t>
            </w:r>
          </w:p>
        </w:tc>
      </w:tr>
      <w:tr w14:paraId="34AE0196">
        <w:tblPrEx>
          <w:tblCellMar>
            <w:top w:w="0" w:type="dxa"/>
            <w:left w:w="108" w:type="dxa"/>
            <w:bottom w:w="0" w:type="dxa"/>
            <w:right w:w="108" w:type="dxa"/>
          </w:tblCellMar>
        </w:tblPrEx>
        <w:trPr>
          <w:trHeight w:val="700" w:hRule="atLeast"/>
        </w:trPr>
        <w:tc>
          <w:tcPr>
            <w:tcW w:w="14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5048FD">
            <w:pPr>
              <w:keepNext w:val="0"/>
              <w:keepLines w:val="0"/>
              <w:pageBreakBefore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themeColor="text1"/>
                <w:sz w:val="32"/>
                <w:szCs w:val="32"/>
                <w14:textFill>
                  <w14:solidFill>
                    <w14:schemeClr w14:val="tx1"/>
                  </w14:solidFill>
                </w14:textFill>
              </w:rPr>
            </w:pPr>
            <w:r>
              <w:rPr>
                <w:rFonts w:hint="eastAsia" w:ascii="方正小标宋简体" w:hAnsi="方正小标宋_GBK" w:eastAsia="方正小标宋简体" w:cs="方正小标宋_GBK"/>
                <w:color w:val="000000" w:themeColor="text1"/>
                <w:sz w:val="32"/>
                <w:szCs w:val="32"/>
                <w14:textFill>
                  <w14:solidFill>
                    <w14:schemeClr w14:val="tx1"/>
                  </w14:solidFill>
                </w14:textFill>
              </w:rPr>
              <w:t>减轻处罚事项清单</w:t>
            </w:r>
          </w:p>
        </w:tc>
      </w:tr>
      <w:tr w14:paraId="4B1A863E">
        <w:tblPrEx>
          <w:tblCellMar>
            <w:top w:w="0" w:type="dxa"/>
            <w:left w:w="108" w:type="dxa"/>
            <w:bottom w:w="0" w:type="dxa"/>
            <w:right w:w="108" w:type="dxa"/>
          </w:tblCellMar>
        </w:tblPrEx>
        <w:trPr>
          <w:trHeight w:val="8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CA5D">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序号</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7BF9">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处罚事项</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1D17">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减轻处罚的情形</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C733">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减轻处罚的依据</w:t>
            </w:r>
          </w:p>
        </w:tc>
      </w:tr>
      <w:tr w14:paraId="3C4822DB">
        <w:tblPrEx>
          <w:tblCellMar>
            <w:top w:w="0" w:type="dxa"/>
            <w:left w:w="108" w:type="dxa"/>
            <w:bottom w:w="0" w:type="dxa"/>
            <w:right w:w="108" w:type="dxa"/>
          </w:tblCellMar>
        </w:tblPrEx>
        <w:trPr>
          <w:trHeight w:val="41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34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3C3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对未取得道路运输经营许可，擅自从事道路普通货物运输经营的处罚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D83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适用条件：                                                                                                                                                                                                                  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2.未造成交通事故、生产安全事故等严重危害后果的。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3.检查时主动供述自己违法行为，积极配合调查取证，不存在阻扰、抗拒执法、暴力抗法等行为。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4.按执法部门要求，及时改正违法行为，不能当场改正的，签订限期改正承诺书。                                                                                                                            5.不存在违法超限超载运输等其他违法行为。</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2F1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《中华人民共和国道路运输条例》第六十三条</w:t>
            </w:r>
          </w:p>
        </w:tc>
      </w:tr>
      <w:tr w14:paraId="4FE3A04B">
        <w:tblPrEx>
          <w:tblCellMar>
            <w:top w:w="0" w:type="dxa"/>
            <w:left w:w="108" w:type="dxa"/>
            <w:bottom w:w="0" w:type="dxa"/>
            <w:right w:w="108" w:type="dxa"/>
          </w:tblCellMar>
        </w:tblPrEx>
        <w:trPr>
          <w:trHeight w:val="16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503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C25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大件运输车辆未按许可的时间、路线行驶公路的处罚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D31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适用条件：                                                                                                                                                                                                                  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2.未造成交通事故、路产损坏，生产安全事故等严重危害后果的。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3.检查时主动供述自己违法行为，积极配合调查取证，不存在阻扰、抗拒执法、暴力抗法等行为。                                                                                                                                                                        4.按执法部门要求积极纠正违法行为。</w:t>
            </w:r>
          </w:p>
          <w:p w14:paraId="52B22D1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5.应处罚款3000元及以上的。</w:t>
            </w:r>
          </w:p>
          <w:p w14:paraId="4F9593F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6.不存在弄虚作假骗取、变造、伪造、租借、买卖《超限运输车辆通行证》行为的。</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64C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《超限运输车辆行驶公路管理规定》第四十七条</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第四十三条                                                                                                             </w:t>
            </w:r>
          </w:p>
        </w:tc>
      </w:tr>
      <w:tr w14:paraId="4D6F02AB">
        <w:tblPrEx>
          <w:tblCellMar>
            <w:top w:w="0" w:type="dxa"/>
            <w:left w:w="108" w:type="dxa"/>
            <w:bottom w:w="0" w:type="dxa"/>
            <w:right w:w="108" w:type="dxa"/>
          </w:tblCellMar>
        </w:tblPrEx>
        <w:trPr>
          <w:trHeight w:val="41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78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45F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对道路危险货物运输驾驶员、押运员未取得从业资格上岗作业的处罚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BE9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适用条件：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2.未造成交通事故、生产安全事故等严重危害后果的。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3.检查时主动供述自己违法行为，积极配合调查取证，不存在阻扰、抗拒执法、暴力抗法等行为的。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4.按执法部门要求积极纠正违法行为的。                                                                                                                                      </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A29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《道路运输从业人员管理规定》（2022年）第六条</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《道路运输从业人员管理规定》（2022年）第四十七条</w:t>
            </w:r>
          </w:p>
        </w:tc>
      </w:tr>
      <w:tr w14:paraId="77F27975">
        <w:tblPrEx>
          <w:tblCellMar>
            <w:top w:w="0" w:type="dxa"/>
            <w:left w:w="108" w:type="dxa"/>
            <w:bottom w:w="0" w:type="dxa"/>
            <w:right w:w="108" w:type="dxa"/>
          </w:tblCellMar>
        </w:tblPrEx>
        <w:trPr>
          <w:trHeight w:val="16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AB2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A0F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对车辆违法超限运输的处罚（非现场执法）</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00F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适用条件：</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1.未造成交通事故、路产损坏，生产安全事故等严重危害后果的。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2.主动供述自己违法行为，积极配合调查取证，不存在阻扰、抗拒执法、暴力抗法等行为。</w:t>
            </w:r>
          </w:p>
          <w:p w14:paraId="2D67BF3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3.收到《超限运输违法行为告知书》后，在规定时间内主动接受调查处理的。</w:t>
            </w:r>
          </w:p>
          <w:p w14:paraId="122053C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4.车货总质量超过限定标准5%以上30%及以下的。</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1C6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《超限运输车辆行驶公路管理规定》第四十三条                                                                                                             </w:t>
            </w:r>
          </w:p>
        </w:tc>
      </w:tr>
    </w:tbl>
    <w:p w14:paraId="63BE3478">
      <w:pPr>
        <w:keepNext w:val="0"/>
        <w:keepLines w:val="0"/>
        <w:pageBreakBefore w:val="0"/>
        <w:kinsoku/>
        <w:wordWrap/>
        <w:overflowPunct/>
        <w:topLinePunct w:val="0"/>
        <w:bidi w:val="0"/>
        <w:spacing w:line="588" w:lineRule="exact"/>
        <w:jc w:val="center"/>
        <w:textAlignment w:val="center"/>
        <w:rPr>
          <w:rFonts w:hint="eastAsia" w:ascii="方正小标宋简体" w:hAnsi="方正小标宋_GBK" w:eastAsia="方正小标宋简体" w:cs="方正小标宋_GBK"/>
          <w:color w:val="000000"/>
          <w:sz w:val="44"/>
          <w:szCs w:val="44"/>
        </w:rPr>
        <w:sectPr>
          <w:pgSz w:w="16838" w:h="11906" w:orient="landscape"/>
          <w:pgMar w:top="1587" w:right="1984" w:bottom="1474" w:left="1984" w:header="851" w:footer="992" w:gutter="0"/>
          <w:pgNumType w:fmt="numberInDash"/>
          <w:cols w:space="0" w:num="1"/>
          <w:rtlGutter w:val="0"/>
          <w:docGrid w:type="lines" w:linePitch="315" w:charSpace="0"/>
        </w:sectPr>
      </w:pPr>
    </w:p>
    <w:tbl>
      <w:tblPr>
        <w:tblStyle w:val="10"/>
        <w:tblW w:w="14445" w:type="dxa"/>
        <w:tblInd w:w="-702" w:type="dxa"/>
        <w:tblLayout w:type="fixed"/>
        <w:tblCellMar>
          <w:top w:w="0" w:type="dxa"/>
          <w:left w:w="108" w:type="dxa"/>
          <w:bottom w:w="0" w:type="dxa"/>
          <w:right w:w="108" w:type="dxa"/>
        </w:tblCellMar>
      </w:tblPr>
      <w:tblGrid>
        <w:gridCol w:w="1030"/>
        <w:gridCol w:w="4229"/>
        <w:gridCol w:w="5184"/>
        <w:gridCol w:w="4002"/>
      </w:tblGrid>
      <w:tr w14:paraId="20A45C9B">
        <w:tblPrEx>
          <w:tblCellMar>
            <w:top w:w="0" w:type="dxa"/>
            <w:left w:w="108" w:type="dxa"/>
            <w:bottom w:w="0" w:type="dxa"/>
            <w:right w:w="108" w:type="dxa"/>
          </w:tblCellMar>
        </w:tblPrEx>
        <w:trPr>
          <w:trHeight w:val="700" w:hRule="atLeast"/>
        </w:trPr>
        <w:tc>
          <w:tcPr>
            <w:tcW w:w="14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D4A331">
            <w:pPr>
              <w:keepNext w:val="0"/>
              <w:keepLines w:val="0"/>
              <w:pageBreakBefore w:val="0"/>
              <w:kinsoku/>
              <w:wordWrap/>
              <w:overflowPunct/>
              <w:topLinePunct w:val="0"/>
              <w:bidi w:val="0"/>
              <w:spacing w:line="588" w:lineRule="exact"/>
              <w:jc w:val="center"/>
              <w:textAlignment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公安执法领域</w:t>
            </w:r>
          </w:p>
        </w:tc>
      </w:tr>
      <w:tr w14:paraId="763B4635">
        <w:tblPrEx>
          <w:tblCellMar>
            <w:top w:w="0" w:type="dxa"/>
            <w:left w:w="108" w:type="dxa"/>
            <w:bottom w:w="0" w:type="dxa"/>
            <w:right w:w="108" w:type="dxa"/>
          </w:tblCellMar>
        </w:tblPrEx>
        <w:trPr>
          <w:trHeight w:val="740" w:hRule="atLeast"/>
        </w:trPr>
        <w:tc>
          <w:tcPr>
            <w:tcW w:w="14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DC83BE">
            <w:pPr>
              <w:keepNext w:val="0"/>
              <w:keepLines w:val="0"/>
              <w:pageBreakBefore w:val="0"/>
              <w:widowControl w:val="0"/>
              <w:kinsoku/>
              <w:wordWrap/>
              <w:overflowPunct/>
              <w:topLinePunct w:val="0"/>
              <w:autoSpaceDE/>
              <w:autoSpaceDN/>
              <w:bidi w:val="0"/>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对市场主体首次轻微行政违法行为免罚清单</w:t>
            </w:r>
          </w:p>
        </w:tc>
      </w:tr>
      <w:tr w14:paraId="21421FDD">
        <w:tblPrEx>
          <w:tblCellMar>
            <w:top w:w="0" w:type="dxa"/>
            <w:left w:w="108" w:type="dxa"/>
            <w:bottom w:w="0" w:type="dxa"/>
            <w:right w:w="108" w:type="dxa"/>
          </w:tblCellMar>
        </w:tblPrEx>
        <w:trPr>
          <w:trHeight w:val="80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4139">
            <w:pPr>
              <w:keepNext w:val="0"/>
              <w:keepLines w:val="0"/>
              <w:pageBreakBefore w:val="0"/>
              <w:widowControl w:val="0"/>
              <w:kinsoku/>
              <w:wordWrap/>
              <w:overflowPunct/>
              <w:topLinePunct w:val="0"/>
              <w:autoSpaceDE/>
              <w:autoSpaceDN/>
              <w:bidi w:val="0"/>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D8B4">
            <w:pPr>
              <w:keepNext w:val="0"/>
              <w:keepLines w:val="0"/>
              <w:pageBreakBefore w:val="0"/>
              <w:widowControl w:val="0"/>
              <w:kinsoku/>
              <w:wordWrap/>
              <w:overflowPunct/>
              <w:topLinePunct w:val="0"/>
              <w:autoSpaceDE/>
              <w:autoSpaceDN/>
              <w:bidi w:val="0"/>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44A4">
            <w:pPr>
              <w:keepNext w:val="0"/>
              <w:keepLines w:val="0"/>
              <w:pageBreakBefore w:val="0"/>
              <w:widowControl w:val="0"/>
              <w:kinsoku/>
              <w:wordWrap/>
              <w:overflowPunct/>
              <w:topLinePunct w:val="0"/>
              <w:autoSpaceDE/>
              <w:autoSpaceDN/>
              <w:bidi w:val="0"/>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E8D8">
            <w:pPr>
              <w:keepNext w:val="0"/>
              <w:keepLines w:val="0"/>
              <w:pageBreakBefore w:val="0"/>
              <w:widowControl w:val="0"/>
              <w:kinsoku/>
              <w:wordWrap/>
              <w:overflowPunct/>
              <w:topLinePunct w:val="0"/>
              <w:autoSpaceDE/>
              <w:autoSpaceDN/>
              <w:bidi w:val="0"/>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不予处罚的依据</w:t>
            </w:r>
          </w:p>
        </w:tc>
      </w:tr>
      <w:tr w14:paraId="64AC5023">
        <w:tblPrEx>
          <w:tblCellMar>
            <w:top w:w="0" w:type="dxa"/>
            <w:left w:w="108" w:type="dxa"/>
            <w:bottom w:w="0" w:type="dxa"/>
            <w:right w:w="108" w:type="dxa"/>
          </w:tblCellMar>
        </w:tblPrEx>
        <w:trPr>
          <w:trHeight w:val="1021"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62A7">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4464">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单位未建立和落实主要负责人治安保卫工作责任制</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0555">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4250">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《企业事业单位内部治安保卫条例》第十九条、《行政处罚法》第三十三条第一款</w:t>
            </w:r>
          </w:p>
        </w:tc>
      </w:tr>
      <w:tr w14:paraId="1B525B20">
        <w:tblPrEx>
          <w:tblCellMar>
            <w:top w:w="0" w:type="dxa"/>
            <w:left w:w="108" w:type="dxa"/>
            <w:bottom w:w="0" w:type="dxa"/>
            <w:right w:w="108" w:type="dxa"/>
          </w:tblCellMar>
        </w:tblPrEx>
        <w:trPr>
          <w:trHeight w:val="97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9C65">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AE4C">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单位未制定和落实内部治安保卫制度</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DB1A">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7602">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《企业事业单位内部治安保卫条例》第十九条、《行政处罚法》第三十三条第一款</w:t>
            </w:r>
          </w:p>
        </w:tc>
      </w:tr>
      <w:tr w14:paraId="2F13DD23">
        <w:tblPrEx>
          <w:tblCellMar>
            <w:top w:w="0" w:type="dxa"/>
            <w:left w:w="108" w:type="dxa"/>
            <w:bottom w:w="0" w:type="dxa"/>
            <w:right w:w="108" w:type="dxa"/>
          </w:tblCellMar>
        </w:tblPrEx>
        <w:trPr>
          <w:trHeight w:val="1135"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963B">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3</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6E69">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单位未设置必要的治安防范设施</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F5FE">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3035">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《企业事业单位内部治安保卫条例》第十九条、《行政处罚法》第三十三条第一款</w:t>
            </w:r>
          </w:p>
        </w:tc>
      </w:tr>
      <w:tr w14:paraId="2B2DA47B">
        <w:tblPrEx>
          <w:tblCellMar>
            <w:top w:w="0" w:type="dxa"/>
            <w:left w:w="108" w:type="dxa"/>
            <w:bottom w:w="0" w:type="dxa"/>
            <w:right w:w="108" w:type="dxa"/>
          </w:tblCellMar>
        </w:tblPrEx>
        <w:trPr>
          <w:trHeight w:val="1261"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1003">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683E">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单位内部治安保卫人员未接受有关法律知识和治安保卫业务、技能以及相关专业知识培训、考核</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DF9A">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24B2">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《企业事业单位内部治安保卫条例》第十九条、《行政处罚法》第三十三条第一款</w:t>
            </w:r>
          </w:p>
        </w:tc>
      </w:tr>
      <w:tr w14:paraId="23939E82">
        <w:tblPrEx>
          <w:tblCellMar>
            <w:top w:w="0" w:type="dxa"/>
            <w:left w:w="108" w:type="dxa"/>
            <w:bottom w:w="0" w:type="dxa"/>
            <w:right w:w="108" w:type="dxa"/>
          </w:tblCellMar>
        </w:tblPrEx>
        <w:trPr>
          <w:trHeight w:val="986"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F007">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5</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A521">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违规未安装技防系统</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5841">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4761">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《天津市安全防范技术管理条例》第十五条、《行政处罚法》第三十三条第一款</w:t>
            </w:r>
          </w:p>
        </w:tc>
      </w:tr>
      <w:tr w14:paraId="2A2EEAC5">
        <w:tblPrEx>
          <w:tblCellMar>
            <w:top w:w="0" w:type="dxa"/>
            <w:left w:w="108" w:type="dxa"/>
            <w:bottom w:w="0" w:type="dxa"/>
            <w:right w:w="108" w:type="dxa"/>
          </w:tblCellMar>
        </w:tblPrEx>
        <w:trPr>
          <w:trHeight w:val="986"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14F6">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6</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232D">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违规安装技防系统</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CD55">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32FB">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《天津市安全防范技术管理条例》第十七条、《行政处罚法》第三十三条第一款</w:t>
            </w:r>
          </w:p>
        </w:tc>
      </w:tr>
      <w:tr w14:paraId="52CEAC54">
        <w:tblPrEx>
          <w:tblCellMar>
            <w:top w:w="0" w:type="dxa"/>
            <w:left w:w="108" w:type="dxa"/>
            <w:bottom w:w="0" w:type="dxa"/>
            <w:right w:w="108" w:type="dxa"/>
          </w:tblCellMar>
        </w:tblPrEx>
        <w:trPr>
          <w:trHeight w:val="139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4E7E">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7</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11A5">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未制定内部网络安全管理制度和操作规程</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F3C6">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EB7B">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lang w:eastAsia="zh-CN"/>
              </w:rPr>
              <w:t>《</w:t>
            </w:r>
            <w:bookmarkStart w:id="0" w:name="_GoBack"/>
            <w:bookmarkEnd w:id="0"/>
            <w:r>
              <w:rPr>
                <w:rFonts w:hint="eastAsia" w:cs="仿宋_GB2312" w:asciiTheme="minorEastAsia" w:hAnsiTheme="minorEastAsia"/>
                <w:sz w:val="24"/>
                <w:szCs w:val="24"/>
              </w:rPr>
              <w:t>中华人民共和国网络安全法》第二十一条、第五十九条，《中华人民共和国计算机信息系统安全保护条例》第二十条、《行政处罚法》第三十三条第一款</w:t>
            </w:r>
          </w:p>
        </w:tc>
      </w:tr>
      <w:tr w14:paraId="1E62623D">
        <w:tblPrEx>
          <w:tblCellMar>
            <w:top w:w="0" w:type="dxa"/>
            <w:left w:w="108" w:type="dxa"/>
            <w:bottom w:w="0" w:type="dxa"/>
            <w:right w:w="108" w:type="dxa"/>
          </w:tblCellMar>
        </w:tblPrEx>
        <w:trPr>
          <w:trHeight w:val="1274"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32A5">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8</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0FCB">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未采取防范计算机病毒和网络攻击、网络侵入等危害网络安全行为的技术措施</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793E">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6878">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《中华人民共和国网络安全法》第二十一条、第五十九条，《中华人民共和国计算机信息系统安全保护条例》第二十条、《行政处罚法》第三十三条第一款</w:t>
            </w:r>
          </w:p>
        </w:tc>
      </w:tr>
      <w:tr w14:paraId="57E7E272">
        <w:tblPrEx>
          <w:tblCellMar>
            <w:top w:w="0" w:type="dxa"/>
            <w:left w:w="108" w:type="dxa"/>
            <w:bottom w:w="0" w:type="dxa"/>
            <w:right w:w="108" w:type="dxa"/>
          </w:tblCellMar>
        </w:tblPrEx>
        <w:trPr>
          <w:trHeight w:val="1265"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33E0">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9</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ED14">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未采取数据分类、重要数据备份和加密等措施</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A226">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F6C8">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《中华人民共和国网络安全法》第二十一条、第五十九条，《中华人民共和国计算机信息系统安全保护条例》第二十条、《行政处罚法》第三十三条第一款</w:t>
            </w:r>
          </w:p>
        </w:tc>
      </w:tr>
      <w:tr w14:paraId="3CE2F709">
        <w:tblPrEx>
          <w:tblCellMar>
            <w:top w:w="0" w:type="dxa"/>
            <w:left w:w="108" w:type="dxa"/>
            <w:bottom w:w="0" w:type="dxa"/>
            <w:right w:w="108" w:type="dxa"/>
          </w:tblCellMar>
        </w:tblPrEx>
        <w:trPr>
          <w:trHeight w:val="1113"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C8BD">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10</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9E37">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不履行国际联网备案职责</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ACE6">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35FB">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《计算机信息网络国际联网安全保护管理办法》第十二条</w:t>
            </w:r>
            <w:r>
              <w:rPr>
                <w:rFonts w:hint="eastAsia" w:cs="仿宋_GB2312" w:asciiTheme="minorEastAsia" w:hAnsiTheme="minorEastAsia"/>
                <w:sz w:val="24"/>
                <w:szCs w:val="24"/>
                <w:lang w:val="en-US" w:eastAsia="zh-CN"/>
              </w:rPr>
              <w:t>第</w:t>
            </w:r>
            <w:r>
              <w:rPr>
                <w:rFonts w:hint="eastAsia" w:cs="仿宋_GB2312" w:asciiTheme="minorEastAsia" w:hAnsiTheme="minorEastAsia"/>
                <w:sz w:val="24"/>
                <w:szCs w:val="24"/>
              </w:rPr>
              <w:t>一款，第二十三条、《行政处罚法》第三十三条第一款</w:t>
            </w:r>
          </w:p>
        </w:tc>
      </w:tr>
      <w:tr w14:paraId="0E548C93">
        <w:tblPrEx>
          <w:tblCellMar>
            <w:top w:w="0" w:type="dxa"/>
            <w:left w:w="108" w:type="dxa"/>
            <w:bottom w:w="0" w:type="dxa"/>
            <w:right w:w="108" w:type="dxa"/>
          </w:tblCellMar>
        </w:tblPrEx>
        <w:trPr>
          <w:trHeight w:val="981"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C554">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11</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E69A">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未按规定进行自招保安员备案</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EE47">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FDE5">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《保安服务管理条例》第四十二条第一款、《行政处罚法》第三十三条第一款</w:t>
            </w:r>
          </w:p>
        </w:tc>
      </w:tr>
      <w:tr w14:paraId="175C8D2A">
        <w:tblPrEx>
          <w:tblCellMar>
            <w:top w:w="0" w:type="dxa"/>
            <w:left w:w="108" w:type="dxa"/>
            <w:bottom w:w="0" w:type="dxa"/>
            <w:right w:w="108" w:type="dxa"/>
          </w:tblCellMar>
        </w:tblPrEx>
        <w:trPr>
          <w:trHeight w:val="986"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C7ED">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12</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07D6">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未按规定撤销自招保安员备案</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C932">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640B">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《保安服务管理条例》第四十二条第一款、《行政处罚法》第三十三条第一款</w:t>
            </w:r>
          </w:p>
        </w:tc>
      </w:tr>
    </w:tbl>
    <w:p w14:paraId="762A8443">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5D482602">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49409E5E">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2C4ADE46">
      <w:pPr>
        <w:keepNext w:val="0"/>
        <w:keepLines w:val="0"/>
        <w:pageBreakBefore w:val="0"/>
        <w:kinsoku/>
        <w:wordWrap/>
        <w:overflowPunct/>
        <w:topLinePunct w:val="0"/>
        <w:bidi w:val="0"/>
        <w:spacing w:line="588" w:lineRule="exact"/>
        <w:rPr>
          <w:rFonts w:ascii="仿宋_GB2312" w:eastAsia="仿宋_GB2312"/>
          <w:sz w:val="32"/>
          <w:szCs w:val="32"/>
        </w:rPr>
      </w:pPr>
    </w:p>
    <w:sectPr>
      <w:pgSz w:w="16838" w:h="11906" w:orient="landscape"/>
      <w:pgMar w:top="1587" w:right="1984" w:bottom="1474" w:left="1984"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宋体"/>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4254">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E1264D">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EE1264D">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30957">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1A9717">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81A9717">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CA51C"/>
    <w:multiLevelType w:val="singleLevel"/>
    <w:tmpl w:val="96ACA51C"/>
    <w:lvl w:ilvl="0" w:tentative="0">
      <w:start w:val="1"/>
      <w:numFmt w:val="decimal"/>
      <w:lvlText w:val="%1."/>
      <w:lvlJc w:val="left"/>
      <w:pPr>
        <w:tabs>
          <w:tab w:val="left" w:pos="312"/>
        </w:tabs>
      </w:pPr>
    </w:lvl>
  </w:abstractNum>
  <w:abstractNum w:abstractNumId="1">
    <w:nsid w:val="AB80E6C9"/>
    <w:multiLevelType w:val="singleLevel"/>
    <w:tmpl w:val="AB80E6C9"/>
    <w:lvl w:ilvl="0" w:tentative="0">
      <w:start w:val="1"/>
      <w:numFmt w:val="decimal"/>
      <w:lvlText w:val="%1."/>
      <w:lvlJc w:val="left"/>
      <w:pPr>
        <w:tabs>
          <w:tab w:val="left" w:pos="312"/>
        </w:tabs>
      </w:pPr>
    </w:lvl>
  </w:abstractNum>
  <w:abstractNum w:abstractNumId="2">
    <w:nsid w:val="B14DE52D"/>
    <w:multiLevelType w:val="singleLevel"/>
    <w:tmpl w:val="B14DE52D"/>
    <w:lvl w:ilvl="0" w:tentative="0">
      <w:start w:val="1"/>
      <w:numFmt w:val="decimal"/>
      <w:lvlText w:val="%1."/>
      <w:lvlJc w:val="left"/>
      <w:pPr>
        <w:tabs>
          <w:tab w:val="left" w:pos="312"/>
        </w:tabs>
      </w:pPr>
    </w:lvl>
  </w:abstractNum>
  <w:abstractNum w:abstractNumId="3">
    <w:nsid w:val="50F27400"/>
    <w:multiLevelType w:val="singleLevel"/>
    <w:tmpl w:val="50F27400"/>
    <w:lvl w:ilvl="0" w:tentative="0">
      <w:start w:val="1"/>
      <w:numFmt w:val="decimal"/>
      <w:lvlText w:val="%1."/>
      <w:lvlJc w:val="left"/>
      <w:pPr>
        <w:tabs>
          <w:tab w:val="left" w:pos="312"/>
        </w:tabs>
      </w:pPr>
    </w:lvl>
  </w:abstractNum>
  <w:abstractNum w:abstractNumId="4">
    <w:nsid w:val="7D6717D7"/>
    <w:multiLevelType w:val="multilevel"/>
    <w:tmpl w:val="7D6717D7"/>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OWE4NDA5YWNiZTc2ODk0ZDljMmMwNDNiOWE2MmQifQ=="/>
  </w:docVars>
  <w:rsids>
    <w:rsidRoot w:val="269F7EEC"/>
    <w:rsid w:val="00001E51"/>
    <w:rsid w:val="000079C9"/>
    <w:rsid w:val="00011884"/>
    <w:rsid w:val="00030439"/>
    <w:rsid w:val="00031D0C"/>
    <w:rsid w:val="00034BFD"/>
    <w:rsid w:val="000360EE"/>
    <w:rsid w:val="000370ED"/>
    <w:rsid w:val="00043B40"/>
    <w:rsid w:val="00070DC9"/>
    <w:rsid w:val="00073711"/>
    <w:rsid w:val="000936D4"/>
    <w:rsid w:val="0009780A"/>
    <w:rsid w:val="000B4226"/>
    <w:rsid w:val="000E206F"/>
    <w:rsid w:val="000E3D27"/>
    <w:rsid w:val="000F3A78"/>
    <w:rsid w:val="000F46F5"/>
    <w:rsid w:val="001147A0"/>
    <w:rsid w:val="00123120"/>
    <w:rsid w:val="0012760C"/>
    <w:rsid w:val="0013554A"/>
    <w:rsid w:val="001402D8"/>
    <w:rsid w:val="00154BFE"/>
    <w:rsid w:val="001553C8"/>
    <w:rsid w:val="001733E4"/>
    <w:rsid w:val="0019692C"/>
    <w:rsid w:val="00196BDA"/>
    <w:rsid w:val="00197850"/>
    <w:rsid w:val="001A26F9"/>
    <w:rsid w:val="001A712B"/>
    <w:rsid w:val="001B5409"/>
    <w:rsid w:val="001C3E0B"/>
    <w:rsid w:val="001E0987"/>
    <w:rsid w:val="001F2CF3"/>
    <w:rsid w:val="001F327A"/>
    <w:rsid w:val="00211CA3"/>
    <w:rsid w:val="00216CD5"/>
    <w:rsid w:val="00223CB3"/>
    <w:rsid w:val="00225FB2"/>
    <w:rsid w:val="00237A55"/>
    <w:rsid w:val="00267914"/>
    <w:rsid w:val="00284E5B"/>
    <w:rsid w:val="00294746"/>
    <w:rsid w:val="002A025C"/>
    <w:rsid w:val="002A2F5A"/>
    <w:rsid w:val="002A4EAC"/>
    <w:rsid w:val="002A536A"/>
    <w:rsid w:val="002B3FB7"/>
    <w:rsid w:val="002B4E9A"/>
    <w:rsid w:val="002C5881"/>
    <w:rsid w:val="002D306B"/>
    <w:rsid w:val="002F6ED4"/>
    <w:rsid w:val="002F7615"/>
    <w:rsid w:val="002F7CBD"/>
    <w:rsid w:val="00301A81"/>
    <w:rsid w:val="00317B14"/>
    <w:rsid w:val="00317C11"/>
    <w:rsid w:val="003219DF"/>
    <w:rsid w:val="003349F3"/>
    <w:rsid w:val="00335BA0"/>
    <w:rsid w:val="00340907"/>
    <w:rsid w:val="0039260F"/>
    <w:rsid w:val="003A3F8A"/>
    <w:rsid w:val="003C23A0"/>
    <w:rsid w:val="003D768C"/>
    <w:rsid w:val="003F0191"/>
    <w:rsid w:val="003F7567"/>
    <w:rsid w:val="00407FEF"/>
    <w:rsid w:val="00415564"/>
    <w:rsid w:val="00434D5E"/>
    <w:rsid w:val="004378D0"/>
    <w:rsid w:val="00450FC8"/>
    <w:rsid w:val="00451FA8"/>
    <w:rsid w:val="00452731"/>
    <w:rsid w:val="00460760"/>
    <w:rsid w:val="00465E04"/>
    <w:rsid w:val="0047087A"/>
    <w:rsid w:val="00492EBF"/>
    <w:rsid w:val="004962AD"/>
    <w:rsid w:val="004C0632"/>
    <w:rsid w:val="004C33A1"/>
    <w:rsid w:val="004C752F"/>
    <w:rsid w:val="004D1119"/>
    <w:rsid w:val="004E1C93"/>
    <w:rsid w:val="004E4EEC"/>
    <w:rsid w:val="004E54A6"/>
    <w:rsid w:val="004F29C4"/>
    <w:rsid w:val="0050288F"/>
    <w:rsid w:val="005040CB"/>
    <w:rsid w:val="005107B1"/>
    <w:rsid w:val="00512ACC"/>
    <w:rsid w:val="00523B0A"/>
    <w:rsid w:val="00523D0B"/>
    <w:rsid w:val="00554D28"/>
    <w:rsid w:val="00555B6C"/>
    <w:rsid w:val="00575AEC"/>
    <w:rsid w:val="00580F0F"/>
    <w:rsid w:val="00583F44"/>
    <w:rsid w:val="00597326"/>
    <w:rsid w:val="005A205D"/>
    <w:rsid w:val="005A519D"/>
    <w:rsid w:val="005A7216"/>
    <w:rsid w:val="005B7158"/>
    <w:rsid w:val="005C16DE"/>
    <w:rsid w:val="005D27EA"/>
    <w:rsid w:val="005E0158"/>
    <w:rsid w:val="005E7F25"/>
    <w:rsid w:val="005F13C5"/>
    <w:rsid w:val="005F2C57"/>
    <w:rsid w:val="006128EF"/>
    <w:rsid w:val="00613864"/>
    <w:rsid w:val="00620C9D"/>
    <w:rsid w:val="00654965"/>
    <w:rsid w:val="0066473A"/>
    <w:rsid w:val="00664F3A"/>
    <w:rsid w:val="00667653"/>
    <w:rsid w:val="006827F1"/>
    <w:rsid w:val="0068506F"/>
    <w:rsid w:val="006A35D4"/>
    <w:rsid w:val="006C1A06"/>
    <w:rsid w:val="006C725B"/>
    <w:rsid w:val="006D60EA"/>
    <w:rsid w:val="006E00DD"/>
    <w:rsid w:val="00711388"/>
    <w:rsid w:val="00720B67"/>
    <w:rsid w:val="00723397"/>
    <w:rsid w:val="00724489"/>
    <w:rsid w:val="0073164B"/>
    <w:rsid w:val="00731ABE"/>
    <w:rsid w:val="0074455B"/>
    <w:rsid w:val="00744E16"/>
    <w:rsid w:val="00750F87"/>
    <w:rsid w:val="00764A63"/>
    <w:rsid w:val="007706AE"/>
    <w:rsid w:val="007870B0"/>
    <w:rsid w:val="00794BDF"/>
    <w:rsid w:val="007B61EF"/>
    <w:rsid w:val="007C3867"/>
    <w:rsid w:val="007D0B0F"/>
    <w:rsid w:val="007D3CFB"/>
    <w:rsid w:val="007D6D7F"/>
    <w:rsid w:val="007E0BA3"/>
    <w:rsid w:val="008036BB"/>
    <w:rsid w:val="00805D79"/>
    <w:rsid w:val="00811A03"/>
    <w:rsid w:val="00815BEB"/>
    <w:rsid w:val="00831078"/>
    <w:rsid w:val="00855653"/>
    <w:rsid w:val="0086410D"/>
    <w:rsid w:val="008821E2"/>
    <w:rsid w:val="008824E9"/>
    <w:rsid w:val="00893A94"/>
    <w:rsid w:val="00895C7C"/>
    <w:rsid w:val="008970FA"/>
    <w:rsid w:val="008971D5"/>
    <w:rsid w:val="008976BA"/>
    <w:rsid w:val="008A38BE"/>
    <w:rsid w:val="008A435A"/>
    <w:rsid w:val="008C461F"/>
    <w:rsid w:val="008C498B"/>
    <w:rsid w:val="008C5E92"/>
    <w:rsid w:val="008E35B9"/>
    <w:rsid w:val="008E5545"/>
    <w:rsid w:val="008F3563"/>
    <w:rsid w:val="008F3903"/>
    <w:rsid w:val="008F4089"/>
    <w:rsid w:val="00920394"/>
    <w:rsid w:val="009379E2"/>
    <w:rsid w:val="00955CF2"/>
    <w:rsid w:val="00962A0C"/>
    <w:rsid w:val="009871C3"/>
    <w:rsid w:val="00987CFE"/>
    <w:rsid w:val="00990CC1"/>
    <w:rsid w:val="009A75D2"/>
    <w:rsid w:val="009C5C31"/>
    <w:rsid w:val="009E1DC6"/>
    <w:rsid w:val="009F25E1"/>
    <w:rsid w:val="00A061A8"/>
    <w:rsid w:val="00A07F8A"/>
    <w:rsid w:val="00A17341"/>
    <w:rsid w:val="00A21E29"/>
    <w:rsid w:val="00A22C1E"/>
    <w:rsid w:val="00A244FD"/>
    <w:rsid w:val="00A346BE"/>
    <w:rsid w:val="00A3705B"/>
    <w:rsid w:val="00A37902"/>
    <w:rsid w:val="00A37ECE"/>
    <w:rsid w:val="00A40C6A"/>
    <w:rsid w:val="00A40C98"/>
    <w:rsid w:val="00A43197"/>
    <w:rsid w:val="00A46941"/>
    <w:rsid w:val="00A52D01"/>
    <w:rsid w:val="00A57833"/>
    <w:rsid w:val="00A81AE8"/>
    <w:rsid w:val="00A85BDB"/>
    <w:rsid w:val="00A9431F"/>
    <w:rsid w:val="00A94A94"/>
    <w:rsid w:val="00AA39ED"/>
    <w:rsid w:val="00AA4143"/>
    <w:rsid w:val="00AC677C"/>
    <w:rsid w:val="00AD7563"/>
    <w:rsid w:val="00B249C9"/>
    <w:rsid w:val="00B30D0B"/>
    <w:rsid w:val="00B35286"/>
    <w:rsid w:val="00B53720"/>
    <w:rsid w:val="00B55020"/>
    <w:rsid w:val="00B56084"/>
    <w:rsid w:val="00B66A03"/>
    <w:rsid w:val="00B7452A"/>
    <w:rsid w:val="00B90DD2"/>
    <w:rsid w:val="00B921B9"/>
    <w:rsid w:val="00BA4D92"/>
    <w:rsid w:val="00BC3D1B"/>
    <w:rsid w:val="00BE33E2"/>
    <w:rsid w:val="00BE34EA"/>
    <w:rsid w:val="00BF0450"/>
    <w:rsid w:val="00C11A87"/>
    <w:rsid w:val="00C123CA"/>
    <w:rsid w:val="00C1718A"/>
    <w:rsid w:val="00C22E2D"/>
    <w:rsid w:val="00C33C04"/>
    <w:rsid w:val="00C426C2"/>
    <w:rsid w:val="00C5450E"/>
    <w:rsid w:val="00C55448"/>
    <w:rsid w:val="00C55453"/>
    <w:rsid w:val="00C663A4"/>
    <w:rsid w:val="00C82811"/>
    <w:rsid w:val="00C872B8"/>
    <w:rsid w:val="00CA07F3"/>
    <w:rsid w:val="00CA376E"/>
    <w:rsid w:val="00CE2A0F"/>
    <w:rsid w:val="00CE7F04"/>
    <w:rsid w:val="00D24DFE"/>
    <w:rsid w:val="00D45AEC"/>
    <w:rsid w:val="00D4621C"/>
    <w:rsid w:val="00D52C12"/>
    <w:rsid w:val="00D6074A"/>
    <w:rsid w:val="00D61D1A"/>
    <w:rsid w:val="00D77F40"/>
    <w:rsid w:val="00D82309"/>
    <w:rsid w:val="00D958A3"/>
    <w:rsid w:val="00DC337A"/>
    <w:rsid w:val="00DE284B"/>
    <w:rsid w:val="00E07EFB"/>
    <w:rsid w:val="00E13F32"/>
    <w:rsid w:val="00E27D69"/>
    <w:rsid w:val="00E3416B"/>
    <w:rsid w:val="00E34200"/>
    <w:rsid w:val="00E70024"/>
    <w:rsid w:val="00E72821"/>
    <w:rsid w:val="00E934DA"/>
    <w:rsid w:val="00E95472"/>
    <w:rsid w:val="00E96211"/>
    <w:rsid w:val="00EB590F"/>
    <w:rsid w:val="00EB757D"/>
    <w:rsid w:val="00EC2445"/>
    <w:rsid w:val="00EC25FE"/>
    <w:rsid w:val="00ED4649"/>
    <w:rsid w:val="00EF0FB3"/>
    <w:rsid w:val="00EF58DE"/>
    <w:rsid w:val="00EF5B3A"/>
    <w:rsid w:val="00EF5BAF"/>
    <w:rsid w:val="00F11131"/>
    <w:rsid w:val="00F153BA"/>
    <w:rsid w:val="00F1710F"/>
    <w:rsid w:val="00F209EE"/>
    <w:rsid w:val="00F21165"/>
    <w:rsid w:val="00F31DED"/>
    <w:rsid w:val="00F72146"/>
    <w:rsid w:val="00F82C1A"/>
    <w:rsid w:val="00FA724F"/>
    <w:rsid w:val="00FB4133"/>
    <w:rsid w:val="00FB6F41"/>
    <w:rsid w:val="00FC245B"/>
    <w:rsid w:val="00FC3409"/>
    <w:rsid w:val="00FD20E0"/>
    <w:rsid w:val="00FD3AF0"/>
    <w:rsid w:val="00FE695C"/>
    <w:rsid w:val="00FF02FE"/>
    <w:rsid w:val="00FF29DC"/>
    <w:rsid w:val="04A5362F"/>
    <w:rsid w:val="079254DA"/>
    <w:rsid w:val="11C77E03"/>
    <w:rsid w:val="150C28C6"/>
    <w:rsid w:val="15EC0488"/>
    <w:rsid w:val="160A4F1B"/>
    <w:rsid w:val="1C8F32EB"/>
    <w:rsid w:val="1E943A85"/>
    <w:rsid w:val="1F877DA2"/>
    <w:rsid w:val="25F42076"/>
    <w:rsid w:val="269F7EEC"/>
    <w:rsid w:val="29003BF9"/>
    <w:rsid w:val="2FBC2096"/>
    <w:rsid w:val="362401D6"/>
    <w:rsid w:val="37AD34FA"/>
    <w:rsid w:val="3BD62B57"/>
    <w:rsid w:val="3CAA4196"/>
    <w:rsid w:val="3D8246C5"/>
    <w:rsid w:val="4FAF707F"/>
    <w:rsid w:val="5A8525C1"/>
    <w:rsid w:val="5AED57B9"/>
    <w:rsid w:val="61D94A0C"/>
    <w:rsid w:val="64030466"/>
    <w:rsid w:val="647832E7"/>
    <w:rsid w:val="64C42DBE"/>
    <w:rsid w:val="64F031D4"/>
    <w:rsid w:val="6652252B"/>
    <w:rsid w:val="67876FA9"/>
    <w:rsid w:val="6FF330B2"/>
    <w:rsid w:val="70AB1C6A"/>
    <w:rsid w:val="BFFE7F01"/>
    <w:rsid w:val="D6CFB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文星仿宋"/>
      <w:sz w:val="32"/>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Emphasis"/>
    <w:basedOn w:val="12"/>
    <w:qFormat/>
    <w:uiPriority w:val="20"/>
    <w:rPr>
      <w:i/>
      <w:iCs/>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7"/>
    <w:semiHidden/>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日期 Char"/>
    <w:basedOn w:val="12"/>
    <w:link w:val="4"/>
    <w:semiHidden/>
    <w:qFormat/>
    <w:uiPriority w:val="99"/>
  </w:style>
  <w:style w:type="paragraph" w:styleId="18">
    <w:name w:val="List Paragraph"/>
    <w:basedOn w:val="1"/>
    <w:unhideWhenUsed/>
    <w:qFormat/>
    <w:uiPriority w:val="34"/>
    <w:pPr>
      <w:ind w:firstLine="420" w:firstLineChars="200"/>
    </w:pPr>
  </w:style>
  <w:style w:type="character" w:customStyle="1" w:styleId="19">
    <w:name w:val="批注框文本 Char"/>
    <w:basedOn w:val="12"/>
    <w:link w:val="5"/>
    <w:semiHidden/>
    <w:qFormat/>
    <w:uiPriority w:val="99"/>
    <w:rPr>
      <w:kern w:val="2"/>
      <w:sz w:val="18"/>
      <w:szCs w:val="18"/>
    </w:rPr>
  </w:style>
  <w:style w:type="character" w:customStyle="1" w:styleId="20">
    <w:name w:val="HTML 预设格式 Char"/>
    <w:basedOn w:val="12"/>
    <w:link w:val="8"/>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D:\2024\&#26580;&#24615;&#25191;&#27861;&#19977;&#24352;&#28165;&#21333;2.0&#35831;&#31034;\&#20851;&#20110;&#30003;&#35831;&#21360;&#21457;&#26580;&#24615;&#25191;&#27861;&#8220;&#19977;&#24352;&#28165;&#21333;&#8221;2.0&#29256;&#30340;&#35831;&#31034;030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关于申请印发柔性执法“三张清单”2.0版的请示0306</Template>
  <Company>MS</Company>
  <Pages>66</Pages>
  <Words>9311</Words>
  <Characters>9426</Characters>
  <Lines>1</Lines>
  <Paragraphs>1</Paragraphs>
  <TotalTime>4</TotalTime>
  <ScaleCrop>false</ScaleCrop>
  <LinksUpToDate>false</LinksUpToDate>
  <CharactersWithSpaces>9711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2024-04-25T18:00:00Z</dcterms:created>
  <dc:creator>窦广惠</dc:creator>
  <cp:lastModifiedBy>sss</cp:lastModifiedBy>
  <dcterms:modified xsi:type="dcterms:W3CDTF">2025-07-09T08:44:20Z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941AD9FAF962461CB94AECEF22D47B35_13</vt:lpwstr>
  </property>
  <property fmtid="{D5CDD505-2E9C-101B-9397-08002B2CF9AE}" pid="4" name="KSOTemplateDocerSaveRecord">
    <vt:lpwstr>eyJoZGlkIjoiMTU5NGE5MzUzODA2NmVhOGVmZTMzYWIzYzk3ZTgyYTMiLCJ1c2VySWQiOiI1ODE4MTEyOTUifQ==</vt:lpwstr>
  </property>
</Properties>
</file>